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bookmarkStart w:id="31" w:name="_GoBack"/>
      <w:bookmarkStart w:id="0" w:name="_Hlk57883707"/>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bookmarkEnd w:id="0"/>
    <w:p>
      <w:pPr>
        <w:adjustRightInd w:val="0"/>
        <w:snapToGrid w:val="0"/>
        <w:jc w:val="center"/>
        <w:outlineLvl w:val="0"/>
        <w:rPr>
          <w:rFonts w:hint="default" w:ascii="Times New Roman" w:hAnsi="Times New Roman" w:eastAsia="方正小标宋_GBK" w:cs="Times New Roman"/>
          <w:bCs/>
          <w:color w:val="auto"/>
          <w:sz w:val="72"/>
          <w:szCs w:val="72"/>
        </w:rPr>
      </w:pPr>
      <w:bookmarkStart w:id="1" w:name="_Toc69334648"/>
      <w:r>
        <w:rPr>
          <w:rFonts w:hint="default" w:ascii="Times New Roman" w:hAnsi="Times New Roman" w:eastAsia="方正小标宋_GBK" w:cs="Times New Roman"/>
          <w:bCs/>
          <w:color w:val="auto"/>
          <w:sz w:val="72"/>
          <w:szCs w:val="72"/>
        </w:rPr>
        <w:t>建设项目环境影响报告表</w:t>
      </w:r>
      <w:bookmarkEnd w:id="1"/>
    </w:p>
    <w:p>
      <w:pPr>
        <w:adjustRightInd w:val="0"/>
        <w:snapToGrid w:val="0"/>
        <w:spacing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bookmarkStart w:id="2" w:name="_Hlk57883728"/>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bookmarkEnd w:id="2"/>
    <w:p>
      <w:pPr>
        <w:adjustRightInd w:val="0"/>
        <w:snapToGrid w:val="0"/>
        <w:spacing w:line="360" w:lineRule="auto"/>
        <w:jc w:val="left"/>
        <w:rPr>
          <w:rFonts w:hint="default"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化隆县甘都镇桥头村山洪沟治理</w:t>
      </w:r>
      <w:r>
        <w:rPr>
          <w:rFonts w:hint="default" w:ascii="Times New Roman" w:hAnsi="Times New Roman" w:eastAsia="仿宋_GB2312" w:cs="Times New Roman"/>
          <w:color w:val="auto"/>
          <w:sz w:val="36"/>
          <w:szCs w:val="36"/>
          <w:u w:val="single"/>
          <w:lang w:val="en-US" w:eastAsia="zh-CN"/>
        </w:rPr>
        <w:t>工程</w:t>
      </w:r>
    </w:p>
    <w:p>
      <w:pPr>
        <w:adjustRightInd w:val="0"/>
        <w:snapToGrid w:val="0"/>
        <w:spacing w:line="360" w:lineRule="auto"/>
        <w:ind w:firstLine="360" w:firstLineChars="1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化隆回族自治县水利局</w:t>
      </w:r>
    </w:p>
    <w:p>
      <w:pPr>
        <w:adjustRightInd w:val="0"/>
        <w:snapToGrid w:val="0"/>
        <w:spacing w:line="360" w:lineRule="auto"/>
        <w:ind w:firstLine="360" w:firstLineChars="1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二零二</w:t>
      </w:r>
      <w:r>
        <w:rPr>
          <w:rFonts w:hint="default" w:ascii="Times New Roman" w:hAnsi="Times New Roman" w:eastAsia="仿宋_GB2312" w:cs="Times New Roman"/>
          <w:color w:val="auto"/>
          <w:sz w:val="36"/>
          <w:szCs w:val="36"/>
          <w:u w:val="single"/>
          <w:lang w:val="en-US" w:eastAsia="zh-CN"/>
        </w:rPr>
        <w:t>四</w:t>
      </w:r>
      <w:r>
        <w:rPr>
          <w:rFonts w:hint="default" w:ascii="Times New Roman" w:hAnsi="Times New Roman" w:eastAsia="仿宋_GB2312" w:cs="Times New Roman"/>
          <w:color w:val="auto"/>
          <w:sz w:val="36"/>
          <w:szCs w:val="36"/>
          <w:u w:val="single"/>
        </w:rPr>
        <w:t>年</w:t>
      </w:r>
      <w:r>
        <w:rPr>
          <w:rFonts w:hint="default" w:ascii="Times New Roman" w:hAnsi="Times New Roman" w:eastAsia="仿宋_GB2312" w:cs="Times New Roman"/>
          <w:color w:val="auto"/>
          <w:sz w:val="36"/>
          <w:szCs w:val="36"/>
          <w:u w:val="single"/>
          <w:lang w:val="en-US" w:eastAsia="zh-CN"/>
        </w:rPr>
        <w:t>五</w:t>
      </w:r>
      <w:r>
        <w:rPr>
          <w:rFonts w:hint="default" w:ascii="Times New Roman" w:hAnsi="Times New Roman" w:eastAsia="仿宋_GB2312" w:cs="Times New Roman"/>
          <w:color w:val="auto"/>
          <w:sz w:val="36"/>
          <w:szCs w:val="36"/>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headerReference r:id="rId3" w:type="default"/>
          <w:footerReference r:id="rId4" w:type="default"/>
          <w:footerReference r:id="rId5" w:type="even"/>
          <w:pgSz w:w="11906" w:h="16838"/>
          <w:pgMar w:top="1440" w:right="1800" w:bottom="1440" w:left="1800" w:header="851" w:footer="1077" w:gutter="0"/>
          <w:pgNumType w:start="21"/>
          <w:cols w:space="720" w:num="1"/>
          <w:docGrid w:linePitch="312" w:charSpace="0"/>
        </w:sectPr>
      </w:pPr>
    </w:p>
    <w:p>
      <w:pPr>
        <w:pStyle w:val="17"/>
        <w:spacing w:line="360" w:lineRule="auto"/>
        <w:rPr>
          <w:rFonts w:hint="default" w:ascii="Times New Roman" w:hAnsi="Times New Roman" w:cs="Times New Roman"/>
          <w:b/>
          <w:bCs/>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"1-1" \h \z \u </w:instrText>
      </w:r>
      <w:r>
        <w:rPr>
          <w:rFonts w:hint="default" w:ascii="Times New Roman" w:hAnsi="Times New Roman" w:cs="Times New Roman"/>
          <w:color w:val="auto"/>
        </w:rPr>
        <w:fldChar w:fldCharType="separate"/>
      </w:r>
      <w:r>
        <w:rPr>
          <w:rStyle w:val="28"/>
          <w:rFonts w:hint="default" w:ascii="Times New Roman" w:hAnsi="Times New Roman" w:cs="Times New Roman"/>
          <w:b/>
          <w:bCs/>
          <w:color w:val="auto"/>
          <w:sz w:val="28"/>
          <w:szCs w:val="28"/>
        </w:rPr>
        <w:t>目 录</w:t>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"_Toc69334649"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一、建设项目基本情况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"_Toc69334650"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二、建设内容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"_Toc69334651"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三、生态环境现状、保护目标及评价标准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"_Toc69334652"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四、生态环境影响分析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"_Toc69334653"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五、主要生态环境保护措施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- 29 -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"_Toc69334654"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六、生态环境保护措施监督检查清单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- 36 -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17"/>
        <w:spacing w:beforeLines="50" w:line="360" w:lineRule="auto"/>
        <w:rPr>
          <w:rStyle w:val="28"/>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"_Toc69334663" </w:instrText>
      </w:r>
      <w:r>
        <w:rPr>
          <w:rFonts w:hint="default" w:ascii="Times New Roman" w:hAnsi="Times New Roman" w:cs="Times New Roman"/>
          <w:color w:val="auto"/>
        </w:rPr>
        <w:fldChar w:fldCharType="separate"/>
      </w:r>
      <w:r>
        <w:rPr>
          <w:rStyle w:val="28"/>
          <w:rFonts w:hint="default" w:ascii="Times New Roman" w:hAnsi="Times New Roman" w:eastAsia="黑体" w:cs="Times New Roman"/>
          <w:snapToGrid w:val="0"/>
          <w:color w:val="auto"/>
        </w:rPr>
        <w:t>七、结论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_Toc69334663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- 39 -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rPr>
          <w:rFonts w:hint="default" w:ascii="Times New Roman" w:hAnsi="Times New Roman" w:cs="Times New Roman"/>
          <w:color w:val="auto"/>
        </w:rPr>
      </w:pP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附图1 地里位置图</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附图2项目平面布置图</w:t>
      </w:r>
    </w:p>
    <w:p>
      <w:pPr>
        <w:spacing w:line="36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 xml:space="preserve">附图3 </w:t>
      </w:r>
      <w:r>
        <w:rPr>
          <w:rFonts w:hint="default" w:ascii="Times New Roman" w:hAnsi="Times New Roman" w:cs="Times New Roman"/>
          <w:color w:val="auto"/>
          <w:lang w:val="en-US" w:eastAsia="zh-CN"/>
        </w:rPr>
        <w:t>工程临时占地布置图</w:t>
      </w:r>
    </w:p>
    <w:p>
      <w:pPr>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rPr>
        <w:t xml:space="preserve">附图4 </w:t>
      </w:r>
      <w:r>
        <w:rPr>
          <w:rFonts w:hint="default" w:ascii="Times New Roman" w:hAnsi="Times New Roman" w:cs="Times New Roman"/>
          <w:color w:val="auto"/>
          <w:lang w:val="en-US" w:eastAsia="zh-CN"/>
        </w:rPr>
        <w:t>外环境关系图</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项目与</w:t>
      </w:r>
      <w:r>
        <w:rPr>
          <w:rFonts w:hint="default" w:ascii="Times New Roman" w:hAnsi="Times New Roman" w:cs="Times New Roman"/>
          <w:color w:val="auto"/>
        </w:rPr>
        <w:t>化隆县环境空间管控单元</w:t>
      </w:r>
      <w:r>
        <w:rPr>
          <w:rFonts w:hint="default" w:ascii="Times New Roman" w:hAnsi="Times New Roman" w:cs="Times New Roman"/>
          <w:color w:val="auto"/>
          <w:lang w:val="en-US" w:eastAsia="zh-CN"/>
        </w:rPr>
        <w:t>关系</w:t>
      </w:r>
      <w:r>
        <w:rPr>
          <w:rFonts w:hint="default" w:ascii="Times New Roman" w:hAnsi="Times New Roman" w:cs="Times New Roman"/>
          <w:color w:val="auto"/>
        </w:rPr>
        <w:t>图</w:t>
      </w:r>
    </w:p>
    <w:p>
      <w:pPr>
        <w:spacing w:line="360" w:lineRule="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附图6 </w:t>
      </w:r>
      <w:r>
        <w:rPr>
          <w:rFonts w:hint="default" w:ascii="Times New Roman" w:hAnsi="Times New Roman" w:cs="Times New Roman"/>
          <w:color w:val="auto"/>
        </w:rPr>
        <w:t>主体功能区划图</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w:t>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生态功能区划图</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附图</w:t>
      </w:r>
      <w:r>
        <w:rPr>
          <w:rFonts w:hint="default" w:ascii="Times New Roman" w:hAnsi="Times New Roman" w:cs="Times New Roman"/>
          <w:color w:val="auto"/>
          <w:lang w:val="en-US" w:eastAsia="zh-CN"/>
        </w:rPr>
        <w:t>8 工程区</w:t>
      </w:r>
      <w:r>
        <w:rPr>
          <w:rFonts w:hint="default" w:ascii="Times New Roman" w:hAnsi="Times New Roman" w:cs="Times New Roman"/>
          <w:color w:val="auto"/>
        </w:rPr>
        <w:t>植被类型</w:t>
      </w:r>
      <w:r>
        <w:rPr>
          <w:rFonts w:hint="default" w:ascii="Times New Roman" w:hAnsi="Times New Roman" w:cs="Times New Roman"/>
          <w:color w:val="auto"/>
          <w:lang w:val="en-US" w:eastAsia="zh-CN"/>
        </w:rPr>
        <w:t>分布</w:t>
      </w:r>
      <w:r>
        <w:rPr>
          <w:rFonts w:hint="default" w:ascii="Times New Roman" w:hAnsi="Times New Roman" w:cs="Times New Roman"/>
          <w:color w:val="auto"/>
        </w:rPr>
        <w:t>图</w: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r>
        <w:rPr>
          <w:rFonts w:hint="default" w:ascii="Times New Roman" w:hAnsi="Times New Roman" w:cs="Times New Roman"/>
          <w:color w:val="auto"/>
        </w:rPr>
        <w:t>附件：</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附件1 环境影响评价委托书</w:t>
      </w:r>
    </w:p>
    <w:p>
      <w:pPr>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rPr>
        <w:t xml:space="preserve">附件2 </w:t>
      </w:r>
      <w:r>
        <w:rPr>
          <w:rFonts w:hint="default" w:ascii="Times New Roman" w:hAnsi="Times New Roman" w:cs="Times New Roman"/>
          <w:color w:val="auto"/>
          <w:lang w:val="en-US" w:eastAsia="zh-CN"/>
        </w:rPr>
        <w:t>化隆县甘都镇桥头村山洪沟治理工程实施方案（代可研）的批复</w:t>
      </w:r>
    </w:p>
    <w:p>
      <w:pPr>
        <w:pStyle w:val="22"/>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附件3 化隆县甘都镇桥头村山洪沟治理工程环境质量现状检测报告</w:t>
      </w:r>
    </w:p>
    <w:p>
      <w:pPr>
        <w:adjustRightInd w:val="0"/>
        <w:snapToGrid w:val="0"/>
        <w:spacing w:line="360" w:lineRule="auto"/>
        <w:ind w:firstLine="1040"/>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fldChar w:fldCharType="end"/>
      </w:r>
    </w:p>
    <w:p>
      <w:pPr>
        <w:pStyle w:val="16"/>
        <w:rPr>
          <w:rFonts w:hint="default" w:ascii="Times New Roman" w:hAnsi="Times New Roman" w:cs="Times New Roman"/>
          <w:color w:val="auto"/>
        </w:rPr>
        <w:sectPr>
          <w:pgSz w:w="11906" w:h="16838"/>
          <w:pgMar w:top="1440" w:right="1800" w:bottom="1440" w:left="1800" w:header="851" w:footer="1077" w:gutter="0"/>
          <w:pgNumType w:start="21"/>
          <w:cols w:space="720" w:num="1"/>
          <w:docGrid w:linePitch="312" w:charSpace="0"/>
        </w:sectPr>
      </w:pPr>
    </w:p>
    <w:p>
      <w:pPr>
        <w:pStyle w:val="19"/>
        <w:jc w:val="center"/>
        <w:outlineLvl w:val="0"/>
        <w:rPr>
          <w:rFonts w:hint="default" w:ascii="Times New Roman" w:hAnsi="Times New Roman" w:eastAsia="黑体" w:cs="Times New Roman"/>
          <w:b/>
          <w:bCs/>
          <w:snapToGrid w:val="0"/>
          <w:color w:val="auto"/>
          <w:sz w:val="30"/>
          <w:szCs w:val="30"/>
        </w:rPr>
      </w:pPr>
      <w:bookmarkStart w:id="3" w:name="_Toc69334649"/>
      <w:r>
        <w:rPr>
          <w:rFonts w:hint="default" w:ascii="Times New Roman" w:hAnsi="Times New Roman" w:eastAsia="黑体" w:cs="Times New Roman"/>
          <w:b/>
          <w:bCs/>
          <w:snapToGrid w:val="0"/>
          <w:color w:val="auto"/>
          <w:sz w:val="30"/>
          <w:szCs w:val="30"/>
        </w:rPr>
        <w:t>一、建设项目基本情况</w:t>
      </w:r>
      <w:bookmarkEnd w:id="3"/>
    </w:p>
    <w:tbl>
      <w:tblPr>
        <w:tblStyle w:val="23"/>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95"/>
        <w:gridCol w:w="1921"/>
        <w:gridCol w:w="2088"/>
        <w:gridCol w:w="9"/>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建设项目名称</w:t>
            </w:r>
          </w:p>
        </w:tc>
        <w:tc>
          <w:tcPr>
            <w:tcW w:w="6409" w:type="dxa"/>
            <w:gridSpan w:val="4"/>
            <w:vAlign w:val="center"/>
          </w:tcPr>
          <w:p>
            <w:pPr>
              <w:adjustRightInd w:val="0"/>
              <w:snapToGrid w:val="0"/>
              <w:spacing w:line="360" w:lineRule="exact"/>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化隆县甘都镇桥头村山洪沟治理工程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项目代码</w:t>
            </w:r>
          </w:p>
        </w:tc>
        <w:tc>
          <w:tcPr>
            <w:tcW w:w="6409" w:type="dxa"/>
            <w:gridSpan w:val="4"/>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2311-630224-04-01-709925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建设单位联系人</w:t>
            </w:r>
          </w:p>
        </w:tc>
        <w:tc>
          <w:tcPr>
            <w:tcW w:w="1921" w:type="dxa"/>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王玉龙</w:t>
            </w:r>
          </w:p>
        </w:tc>
        <w:tc>
          <w:tcPr>
            <w:tcW w:w="2097" w:type="dxa"/>
            <w:gridSpan w:val="2"/>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b/>
                <w:bCs/>
                <w:color w:val="auto"/>
              </w:rPr>
              <w:t>联系方式</w:t>
            </w:r>
          </w:p>
        </w:tc>
        <w:tc>
          <w:tcPr>
            <w:tcW w:w="2391" w:type="dxa"/>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0972-8712108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建设地点</w:t>
            </w:r>
          </w:p>
        </w:tc>
        <w:tc>
          <w:tcPr>
            <w:tcW w:w="6409" w:type="dxa"/>
            <w:gridSpan w:val="4"/>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化隆县</w:t>
            </w:r>
            <w:r>
              <w:rPr>
                <w:rFonts w:hint="default" w:ascii="Times New Roman" w:hAnsi="Times New Roman" w:cs="Times New Roman"/>
                <w:color w:val="auto"/>
                <w:lang w:eastAsia="zh-CN"/>
              </w:rPr>
              <w:t>甘都镇桥头村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地理坐标</w:t>
            </w:r>
          </w:p>
        </w:tc>
        <w:tc>
          <w:tcPr>
            <w:tcW w:w="6409" w:type="dxa"/>
            <w:gridSpan w:val="4"/>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起点：102.36170322，35.90098982</w:t>
            </w:r>
          </w:p>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终点：102.36582041</w:t>
            </w:r>
            <w:r>
              <w:rPr>
                <w:rFonts w:hint="default" w:ascii="Times New Roman" w:hAnsi="Times New Roman" w:cs="Times New Roman"/>
                <w:color w:val="auto"/>
                <w:kern w:val="0"/>
              </w:rPr>
              <w:t>，35.87996641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建设项目</w:t>
            </w:r>
          </w:p>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行业类别</w:t>
            </w:r>
          </w:p>
        </w:tc>
        <w:tc>
          <w:tcPr>
            <w:tcW w:w="1921" w:type="dxa"/>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127防洪除涝工程</w:t>
            </w:r>
          </w:p>
        </w:tc>
        <w:tc>
          <w:tcPr>
            <w:tcW w:w="2088" w:type="dxa"/>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用地（用海）面积（m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）/长度（km）</w:t>
            </w:r>
          </w:p>
        </w:tc>
        <w:tc>
          <w:tcPr>
            <w:tcW w:w="2400" w:type="dxa"/>
            <w:gridSpan w:val="2"/>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lang w:val="en-US" w:eastAsia="zh-CN"/>
              </w:rPr>
              <w:t>3.0</w:t>
            </w:r>
            <w:r>
              <w:rPr>
                <w:rFonts w:hint="default" w:ascii="Times New Roman" w:hAnsi="Times New Roman" w:cs="Times New Roman"/>
                <w:color w:val="auto"/>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建设性质</w:t>
            </w:r>
          </w:p>
        </w:tc>
        <w:tc>
          <w:tcPr>
            <w:tcW w:w="1921" w:type="dxa"/>
            <w:vAlign w:val="center"/>
          </w:tcPr>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☑新建（迁建）</w:t>
            </w:r>
          </w:p>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□改建</w:t>
            </w:r>
          </w:p>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□扩建</w:t>
            </w:r>
          </w:p>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□技术改造</w:t>
            </w:r>
          </w:p>
        </w:tc>
        <w:tc>
          <w:tcPr>
            <w:tcW w:w="2088" w:type="dxa"/>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建设项目</w:t>
            </w:r>
          </w:p>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申报情形</w:t>
            </w:r>
          </w:p>
        </w:tc>
        <w:tc>
          <w:tcPr>
            <w:tcW w:w="2400" w:type="dxa"/>
            <w:gridSpan w:val="2"/>
            <w:vAlign w:val="center"/>
          </w:tcPr>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☑首次申报项目</w:t>
            </w:r>
          </w:p>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□不予批准后再次申报项目</w:t>
            </w:r>
          </w:p>
          <w:p>
            <w:pPr>
              <w:adjustRightInd w:val="0"/>
              <w:snapToGrid w:val="0"/>
              <w:spacing w:line="360" w:lineRule="exact"/>
              <w:jc w:val="left"/>
              <w:rPr>
                <w:rFonts w:hint="default" w:ascii="Times New Roman" w:hAnsi="Times New Roman" w:cs="Times New Roman"/>
                <w:color w:val="auto"/>
              </w:rPr>
            </w:pPr>
            <w:r>
              <w:rPr>
                <w:rFonts w:hint="default" w:ascii="Times New Roman" w:hAnsi="Times New Roman" w:cs="Times New Roman"/>
                <w:color w:val="auto"/>
              </w:rPr>
              <w:t>□超五年重新审核项目</w:t>
            </w:r>
          </w:p>
          <w:p>
            <w:pPr>
              <w:adjustRightInd w:val="0"/>
              <w:snapToGrid w:val="0"/>
              <w:spacing w:line="360" w:lineRule="exact"/>
              <w:rPr>
                <w:rFonts w:hint="default" w:ascii="Times New Roman" w:hAnsi="Times New Roman" w:cs="Times New Roman"/>
                <w:color w:val="auto"/>
              </w:rPr>
            </w:pPr>
            <w:r>
              <w:rPr>
                <w:rFonts w:hint="default" w:ascii="Times New Roman" w:hAnsi="Times New Roman" w:cs="Times New Roman"/>
                <w:color w:val="auto"/>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项目审批（核准/</w:t>
            </w:r>
          </w:p>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备案）部门（选填）</w:t>
            </w:r>
          </w:p>
        </w:tc>
        <w:tc>
          <w:tcPr>
            <w:tcW w:w="1921" w:type="dxa"/>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化隆县发展和改革局</w:t>
            </w:r>
          </w:p>
        </w:tc>
        <w:tc>
          <w:tcPr>
            <w:tcW w:w="2088" w:type="dxa"/>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项目审批（核准/</w:t>
            </w:r>
          </w:p>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备案）文号（选填）</w:t>
            </w:r>
          </w:p>
        </w:tc>
        <w:tc>
          <w:tcPr>
            <w:tcW w:w="2400" w:type="dxa"/>
            <w:gridSpan w:val="2"/>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lang w:val="en-US" w:eastAsia="zh-CN"/>
              </w:rPr>
              <w:t>化发改〔2024〕46</w:t>
            </w:r>
            <w:r>
              <w:rPr>
                <w:rFonts w:hint="default" w:ascii="Times New Roman" w:hAnsi="Times New Roman" w:cs="Times New Roman"/>
                <w:color w:val="auto"/>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总投资（万元）</w:t>
            </w:r>
          </w:p>
        </w:tc>
        <w:tc>
          <w:tcPr>
            <w:tcW w:w="1921" w:type="dxa"/>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 xml:space="preserve">1792.00 </w:t>
            </w:r>
          </w:p>
        </w:tc>
        <w:tc>
          <w:tcPr>
            <w:tcW w:w="2088"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环保投资（万元）</w:t>
            </w:r>
          </w:p>
        </w:tc>
        <w:tc>
          <w:tcPr>
            <w:tcW w:w="2400" w:type="dxa"/>
            <w:gridSpan w:val="2"/>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环保投资占比（%）</w:t>
            </w:r>
          </w:p>
        </w:tc>
        <w:tc>
          <w:tcPr>
            <w:tcW w:w="1921" w:type="dxa"/>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w:t>
            </w:r>
          </w:p>
        </w:tc>
        <w:tc>
          <w:tcPr>
            <w:tcW w:w="2088"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施工工期</w:t>
            </w:r>
          </w:p>
        </w:tc>
        <w:tc>
          <w:tcPr>
            <w:tcW w:w="2400" w:type="dxa"/>
            <w:gridSpan w:val="2"/>
            <w:vAlign w:val="center"/>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lang w:val="en-US" w:eastAsia="zh-CN"/>
              </w:rPr>
              <w:t>8</w:t>
            </w:r>
            <w:r>
              <w:rPr>
                <w:rFonts w:hint="default" w:ascii="Times New Roman" w:hAnsi="Times New Roman" w:cs="Times New Roman"/>
                <w:color w:val="auto"/>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是否开工建设</w:t>
            </w:r>
          </w:p>
        </w:tc>
        <w:tc>
          <w:tcPr>
            <w:tcW w:w="6409" w:type="dxa"/>
            <w:gridSpan w:val="4"/>
            <w:vAlign w:val="center"/>
          </w:tcPr>
          <w:p>
            <w:pPr>
              <w:adjustRightInd w:val="0"/>
              <w:snapToGrid w:val="0"/>
              <w:spacing w:line="360" w:lineRule="exact"/>
              <w:ind w:firstLine="105"/>
              <w:jc w:val="left"/>
              <w:rPr>
                <w:rFonts w:hint="default" w:ascii="Times New Roman" w:hAnsi="Times New Roman" w:cs="Times New Roman"/>
                <w:color w:val="auto"/>
              </w:rPr>
            </w:pPr>
            <w:r>
              <w:rPr>
                <w:rFonts w:hint="default" w:ascii="Times New Roman" w:hAnsi="Times New Roman" w:cs="Times New Roman"/>
                <w:color w:val="auto"/>
              </w:rPr>
              <w:t>☑否</w:t>
            </w:r>
          </w:p>
          <w:p>
            <w:pPr>
              <w:adjustRightInd w:val="0"/>
              <w:snapToGrid w:val="0"/>
              <w:spacing w:line="360" w:lineRule="exact"/>
              <w:ind w:firstLine="92"/>
              <w:jc w:val="left"/>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专项评价设置情况</w:t>
            </w:r>
          </w:p>
        </w:tc>
        <w:tc>
          <w:tcPr>
            <w:tcW w:w="6409" w:type="dxa"/>
            <w:gridSpan w:val="4"/>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b/>
                <w:bCs/>
                <w:color w:val="auto"/>
                <w:kern w:val="0"/>
              </w:rPr>
            </w:pPr>
            <w:r>
              <w:rPr>
                <w:rFonts w:hint="default" w:ascii="Times New Roman" w:hAnsi="Times New Roman" w:cs="Times New Roman"/>
                <w:b/>
                <w:bCs/>
                <w:color w:val="auto"/>
              </w:rPr>
              <w:t>规划情况</w:t>
            </w:r>
          </w:p>
        </w:tc>
        <w:tc>
          <w:tcPr>
            <w:tcW w:w="6409" w:type="dxa"/>
            <w:gridSpan w:val="4"/>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b/>
                <w:bCs/>
                <w:color w:val="auto"/>
              </w:rPr>
            </w:pPr>
            <w:r>
              <w:rPr>
                <w:rFonts w:hint="default" w:ascii="Times New Roman" w:hAnsi="Times New Roman" w:cs="Times New Roman"/>
                <w:b/>
                <w:bCs/>
                <w:color w:val="auto"/>
              </w:rPr>
              <w:t>规划环境影响</w:t>
            </w:r>
          </w:p>
          <w:p>
            <w:pPr>
              <w:autoSpaceDE w:val="0"/>
              <w:autoSpaceDN w:val="0"/>
              <w:adjustRightInd w:val="0"/>
              <w:snapToGrid w:val="0"/>
              <w:spacing w:line="360" w:lineRule="exact"/>
              <w:jc w:val="center"/>
              <w:rPr>
                <w:rFonts w:hint="default" w:ascii="Times New Roman" w:hAnsi="Times New Roman" w:cs="Times New Roman"/>
                <w:b/>
                <w:bCs/>
                <w:color w:val="auto"/>
                <w:kern w:val="0"/>
              </w:rPr>
            </w:pPr>
            <w:r>
              <w:rPr>
                <w:rFonts w:hint="default" w:ascii="Times New Roman" w:hAnsi="Times New Roman" w:cs="Times New Roman"/>
                <w:b/>
                <w:bCs/>
                <w:color w:val="auto"/>
              </w:rPr>
              <w:t>评价情况</w:t>
            </w:r>
          </w:p>
        </w:tc>
        <w:tc>
          <w:tcPr>
            <w:tcW w:w="6409" w:type="dxa"/>
            <w:gridSpan w:val="4"/>
            <w:tcMar>
              <w:top w:w="16" w:type="dxa"/>
              <w:left w:w="16" w:type="dxa"/>
              <w:right w:w="16" w:type="dxa"/>
            </w:tcMar>
            <w:vAlign w:val="center"/>
          </w:tcPr>
          <w:p>
            <w:pPr>
              <w:adjustRightInd w:val="0"/>
              <w:snapToGrid w:val="0"/>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规划及</w:t>
            </w:r>
            <w:r>
              <w:rPr>
                <w:rFonts w:hint="default" w:ascii="Times New Roman" w:hAnsi="Times New Roman" w:cs="Times New Roman"/>
                <w:b/>
                <w:bCs/>
                <w:color w:val="auto"/>
              </w:rPr>
              <w:t>规划环境影响评价</w:t>
            </w:r>
            <w:r>
              <w:rPr>
                <w:rFonts w:hint="default" w:ascii="Times New Roman" w:hAnsi="Times New Roman" w:cs="Times New Roman"/>
                <w:b/>
                <w:bCs/>
                <w:color w:val="auto"/>
                <w:kern w:val="0"/>
              </w:rPr>
              <w:t>符合性分析</w:t>
            </w:r>
          </w:p>
        </w:tc>
        <w:tc>
          <w:tcPr>
            <w:tcW w:w="6409" w:type="dxa"/>
            <w:gridSpan w:val="4"/>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95" w:type="dxa"/>
            <w:tcMar>
              <w:top w:w="16" w:type="dxa"/>
              <w:left w:w="16" w:type="dxa"/>
              <w:right w:w="16" w:type="dxa"/>
            </w:tcMar>
            <w:vAlign w:val="center"/>
          </w:tcPr>
          <w:p>
            <w:pPr>
              <w:autoSpaceDE w:val="0"/>
              <w:autoSpaceDN w:val="0"/>
              <w:adjustRightInd w:val="0"/>
              <w:snapToGrid w:val="0"/>
              <w:spacing w:line="360" w:lineRule="exact"/>
              <w:jc w:val="center"/>
              <w:rPr>
                <w:rFonts w:hint="default" w:ascii="Times New Roman" w:hAnsi="Times New Roman" w:cs="Times New Roman"/>
                <w:color w:val="auto"/>
                <w:kern w:val="0"/>
              </w:rPr>
            </w:pPr>
            <w:bookmarkStart w:id="4" w:name="_Hlk56690880"/>
            <w:r>
              <w:rPr>
                <w:rFonts w:hint="default" w:ascii="Times New Roman" w:hAnsi="Times New Roman" w:cs="Times New Roman"/>
                <w:b/>
                <w:bCs/>
                <w:color w:val="auto"/>
                <w:kern w:val="0"/>
              </w:rPr>
              <w:t>其他符合性分析</w:t>
            </w:r>
            <w:bookmarkEnd w:id="4"/>
          </w:p>
        </w:tc>
        <w:tc>
          <w:tcPr>
            <w:tcW w:w="6409" w:type="dxa"/>
            <w:gridSpan w:val="4"/>
            <w:tcMar>
              <w:top w:w="16" w:type="dxa"/>
              <w:left w:w="16" w:type="dxa"/>
              <w:right w:w="16" w:type="dxa"/>
            </w:tcMar>
            <w:vAlign w:val="center"/>
          </w:tcPr>
          <w:p>
            <w:pPr>
              <w:widowControl/>
              <w:adjustRightInd w:val="0"/>
              <w:snapToGrid w:val="0"/>
              <w:spacing w:beforeLines="50" w:line="360" w:lineRule="auto"/>
              <w:jc w:val="left"/>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1.产业政策符合性分析</w:t>
            </w:r>
          </w:p>
          <w:p>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根据《产业结构调整指导目录(2024年本)》（国家发展和改革委员会令第7号），本项目属于“第一类鼓励类二、水利3.防洪提升工程，为国家鼓励类发展项目；202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日，</w:t>
            </w:r>
            <w:r>
              <w:rPr>
                <w:rFonts w:hint="eastAsia" w:cs="Times New Roman"/>
                <w:color w:val="auto"/>
                <w:sz w:val="24"/>
                <w:lang w:val="en-US" w:eastAsia="zh-CN"/>
              </w:rPr>
              <w:t>已取得</w:t>
            </w:r>
            <w:r>
              <w:rPr>
                <w:rFonts w:hint="default" w:ascii="Times New Roman" w:hAnsi="Times New Roman" w:cs="Times New Roman"/>
                <w:color w:val="auto"/>
                <w:sz w:val="24"/>
              </w:rPr>
              <w:t>化隆县发展和改革局“化发改〔2024〕</w:t>
            </w:r>
            <w:r>
              <w:rPr>
                <w:rFonts w:hint="default" w:ascii="Times New Roman" w:hAnsi="Times New Roman" w:cs="Times New Roman"/>
                <w:color w:val="auto"/>
                <w:sz w:val="24"/>
                <w:lang w:val="en-US" w:eastAsia="zh-CN"/>
              </w:rPr>
              <w:t>46</w:t>
            </w:r>
            <w:r>
              <w:rPr>
                <w:rFonts w:hint="default" w:ascii="Times New Roman" w:hAnsi="Times New Roman" w:cs="Times New Roman"/>
                <w:color w:val="auto"/>
                <w:sz w:val="24"/>
              </w:rPr>
              <w:t>号”对本工程</w:t>
            </w:r>
            <w:r>
              <w:rPr>
                <w:rFonts w:hint="default" w:ascii="Times New Roman" w:hAnsi="Times New Roman" w:cs="Times New Roman"/>
                <w:color w:val="auto"/>
                <w:sz w:val="24"/>
                <w:lang w:val="en-US" w:eastAsia="zh-CN"/>
              </w:rPr>
              <w:t>实施方案（代可研）</w:t>
            </w:r>
            <w:r>
              <w:rPr>
                <w:rFonts w:hint="default" w:ascii="Times New Roman" w:hAnsi="Times New Roman" w:cs="Times New Roman"/>
                <w:color w:val="auto"/>
                <w:sz w:val="24"/>
              </w:rPr>
              <w:t>予以批复。因此，拟建项目符合国家相关产业</w:t>
            </w:r>
            <w:r>
              <w:rPr>
                <w:rFonts w:hint="default" w:ascii="Times New Roman" w:hAnsi="Times New Roman" w:cs="Times New Roman"/>
                <w:color w:val="auto"/>
                <w:sz w:val="24"/>
              </w:rPr>
              <w:t>政策。</w:t>
            </w:r>
          </w:p>
          <w:p>
            <w:pPr>
              <w:widowControl/>
              <w:adjustRightInd w:val="0"/>
              <w:snapToGrid w:val="0"/>
              <w:spacing w:beforeLines="50"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lang w:val="en-US" w:eastAsia="zh-CN"/>
              </w:rPr>
              <w:t>2.</w:t>
            </w:r>
            <w:r>
              <w:rPr>
                <w:rFonts w:hint="default" w:ascii="Times New Roman" w:hAnsi="Times New Roman" w:cs="Times New Roman"/>
                <w:b/>
                <w:bCs/>
                <w:color w:val="auto"/>
                <w:kern w:val="0"/>
              </w:rPr>
              <w:t>与海东市“三线一单”生态环境分区管控体系的符合性分析</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本项目结合</w:t>
            </w:r>
            <w:r>
              <w:rPr>
                <w:rFonts w:hint="default" w:ascii="Times New Roman" w:hAnsi="Times New Roman" w:cs="Times New Roman"/>
                <w:color w:val="auto"/>
                <w:sz w:val="24"/>
              </w:rPr>
              <w:t>青海省人民政府《关于实施“三线一单”生态环境分区管控的通知》（青政〔2020〕77号）和</w:t>
            </w:r>
            <w:r>
              <w:rPr>
                <w:rFonts w:hint="default" w:ascii="Times New Roman" w:hAnsi="Times New Roman" w:cs="Times New Roman"/>
                <w:color w:val="auto"/>
              </w:rPr>
              <w:t>《海东市人民政府</w:t>
            </w:r>
            <w:r>
              <w:rPr>
                <w:rFonts w:hint="eastAsia" w:cs="Times New Roman"/>
                <w:color w:val="auto"/>
                <w:lang w:val="en-US" w:eastAsia="zh-CN"/>
              </w:rPr>
              <w:t>办公室关于印发海东市生态环境分区管控动态更新成果的通知</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东政办〔2024〕47号</w:t>
            </w:r>
            <w:r>
              <w:rPr>
                <w:rFonts w:hint="eastAsia" w:cs="Times New Roman"/>
                <w:color w:val="auto"/>
                <w:lang w:eastAsia="zh-CN"/>
              </w:rPr>
              <w:t>）</w:t>
            </w:r>
            <w:r>
              <w:rPr>
                <w:rFonts w:hint="default" w:ascii="Times New Roman" w:hAnsi="Times New Roman" w:cs="Times New Roman"/>
                <w:color w:val="auto"/>
                <w:sz w:val="24"/>
                <w:szCs w:val="20"/>
              </w:rPr>
              <w:t>内容进行符合性分析。</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①生态保护红线</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项目位于青海省</w:t>
            </w:r>
            <w:r>
              <w:rPr>
                <w:rFonts w:hint="eastAsia" w:ascii="Times New Roman" w:hAnsi="Times New Roman" w:cs="Times New Roman"/>
                <w:color w:val="auto"/>
                <w:sz w:val="24"/>
                <w:szCs w:val="20"/>
                <w:lang w:val="en-US" w:eastAsia="zh-CN"/>
              </w:rPr>
              <w:t>海东市化隆县甘都镇桥头村</w:t>
            </w:r>
            <w:r>
              <w:rPr>
                <w:rFonts w:hint="default" w:ascii="Times New Roman" w:hAnsi="Times New Roman" w:cs="Times New Roman"/>
                <w:color w:val="auto"/>
                <w:sz w:val="24"/>
                <w:szCs w:val="20"/>
              </w:rPr>
              <w:t>，本工程所在地不属于依法划定的自然保护区、风景名胜区，也不属于地质灾害危险区等生态脆弱区。根据对照《生态保护红线划定技术指南》、青海省“三线一单”的内容，项目选址不在生态保护红线范围内，属于</w:t>
            </w:r>
            <w:r>
              <w:rPr>
                <w:rFonts w:hint="eastAsia" w:ascii="Times New Roman" w:hAnsi="Times New Roman" w:cs="Times New Roman"/>
                <w:color w:val="auto"/>
                <w:sz w:val="24"/>
                <w:szCs w:val="20"/>
                <w:lang w:val="en-US" w:eastAsia="zh-CN"/>
              </w:rPr>
              <w:t>一般</w:t>
            </w:r>
            <w:r>
              <w:rPr>
                <w:rFonts w:hint="default" w:ascii="Times New Roman" w:hAnsi="Times New Roman" w:cs="Times New Roman"/>
                <w:color w:val="auto"/>
                <w:sz w:val="24"/>
                <w:szCs w:val="20"/>
              </w:rPr>
              <w:t>管控单元。</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因此，本项目符合生态保护红线要求。</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②环境质量底线</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lang w:val="en-US" w:eastAsia="zh-CN"/>
              </w:rPr>
              <w:t>采用</w:t>
            </w:r>
            <w:r>
              <w:rPr>
                <w:rFonts w:hint="default" w:ascii="Times New Roman" w:hAnsi="Times New Roman" w:cs="Times New Roman"/>
                <w:color w:val="auto"/>
                <w:sz w:val="24"/>
                <w:szCs w:val="20"/>
              </w:rPr>
              <w:t>“</w:t>
            </w:r>
            <w:r>
              <w:rPr>
                <w:rFonts w:hint="default" w:ascii="Times New Roman" w:hAnsi="Times New Roman" w:cs="Times New Roman"/>
                <w:color w:val="auto"/>
                <w:sz w:val="24"/>
                <w:szCs w:val="20"/>
                <w:lang w:val="en-US" w:eastAsia="zh-CN"/>
              </w:rPr>
              <w:t>化隆县2023年1-12月空气质量统计表（实况）的监测数据”</w:t>
            </w:r>
            <w:r>
              <w:rPr>
                <w:rFonts w:hint="default" w:ascii="Times New Roman" w:hAnsi="Times New Roman" w:cs="Times New Roman"/>
                <w:color w:val="auto"/>
                <w:sz w:val="24"/>
                <w:szCs w:val="20"/>
              </w:rPr>
              <w:t>，化隆县20</w:t>
            </w:r>
            <w:r>
              <w:rPr>
                <w:rFonts w:hint="default" w:ascii="Times New Roman" w:hAnsi="Times New Roman" w:cs="Times New Roman"/>
                <w:color w:val="auto"/>
                <w:sz w:val="24"/>
                <w:szCs w:val="20"/>
                <w:lang w:val="en-US" w:eastAsia="zh-CN"/>
              </w:rPr>
              <w:t>23</w:t>
            </w:r>
            <w:r>
              <w:rPr>
                <w:rFonts w:hint="default" w:ascii="Times New Roman" w:hAnsi="Times New Roman" w:cs="Times New Roman"/>
                <w:color w:val="auto"/>
                <w:sz w:val="24"/>
                <w:szCs w:val="20"/>
              </w:rPr>
              <w:t>年度环境空气质量数据，项目区环境空气质量满足《环境空气质量标准》（GB3095-2012）二级标准；地表水水质满足《地表水环境质量标准》（GB3838-2002）中Ⅱ类水质要求；本项目所在地环境噪声符合《声环境质量标准》（GB3096-2008）中的2类标准要求。满足本项目所在区域环境质量底线。</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本项目为防洪</w:t>
            </w:r>
            <w:r>
              <w:rPr>
                <w:rFonts w:hint="default" w:ascii="Times New Roman" w:hAnsi="Times New Roman" w:cs="Times New Roman"/>
                <w:color w:val="auto"/>
                <w:sz w:val="24"/>
                <w:szCs w:val="20"/>
                <w:lang w:val="en-US" w:eastAsia="zh-CN"/>
              </w:rPr>
              <w:t>工程</w:t>
            </w:r>
            <w:r>
              <w:rPr>
                <w:rFonts w:hint="default" w:ascii="Times New Roman" w:hAnsi="Times New Roman" w:cs="Times New Roman"/>
                <w:color w:val="auto"/>
                <w:sz w:val="24"/>
                <w:szCs w:val="20"/>
              </w:rPr>
              <w:t>，运营期不产生废气、废水等污染物。项目建设环境污染主要集中在施工期，但施工期污染是短暂的，施工完成，影响结束。本项目</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rPr>
              <w:t>三废</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rPr>
              <w:t>及噪声均能得到有效处置和防治，因此本项目产生的污染物不会突破区域环境质量底线。</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③资源利用上线</w:t>
            </w:r>
          </w:p>
          <w:p>
            <w:pPr>
              <w:snapToGrid w:val="0"/>
              <w:spacing w:line="360" w:lineRule="auto"/>
              <w:ind w:firstLine="471"/>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w:t>
            </w:r>
            <w:r>
              <w:rPr>
                <w:rFonts w:hint="default" w:ascii="Times New Roman" w:hAnsi="Times New Roman" w:cs="Times New Roman"/>
                <w:color w:val="auto"/>
                <w:sz w:val="24"/>
                <w:szCs w:val="20"/>
              </w:rPr>
              <w:t>项目</w:t>
            </w:r>
            <w:r>
              <w:rPr>
                <w:rFonts w:hint="eastAsia" w:cs="Times New Roman"/>
                <w:color w:val="auto"/>
                <w:sz w:val="24"/>
                <w:szCs w:val="20"/>
                <w:lang w:val="en-US" w:eastAsia="zh-CN"/>
              </w:rPr>
              <w:t>施工</w:t>
            </w:r>
            <w:r>
              <w:rPr>
                <w:rFonts w:hint="default" w:ascii="Times New Roman" w:hAnsi="Times New Roman" w:cs="Times New Roman"/>
                <w:color w:val="auto"/>
                <w:sz w:val="24"/>
                <w:szCs w:val="20"/>
              </w:rPr>
              <w:t>过程中消耗一定量的电</w:t>
            </w:r>
            <w:r>
              <w:rPr>
                <w:rFonts w:hint="default" w:ascii="Times New Roman" w:hAnsi="Times New Roman" w:cs="Times New Roman"/>
                <w:color w:val="auto"/>
                <w:sz w:val="24"/>
                <w:szCs w:val="20"/>
              </w:rPr>
              <w:t>源、水资源等资源消耗，项目资源消耗量相对区域资源利用总量较少，符合资源利用上线要求。</w:t>
            </w:r>
          </w:p>
          <w:p>
            <w:pPr>
              <w:autoSpaceDE w:val="0"/>
              <w:autoSpaceDN w:val="0"/>
              <w:adjustRightInd w:val="0"/>
              <w:snapToGrid w:val="0"/>
              <w:spacing w:line="360" w:lineRule="auto"/>
              <w:ind w:firstLine="480" w:firstLineChars="200"/>
              <w:rPr>
                <w:rFonts w:hint="default" w:ascii="Times New Roman" w:hAnsi="Times New Roman" w:cs="Times New Roman"/>
                <w:bCs/>
                <w:color w:val="auto"/>
                <w:kern w:val="21"/>
                <w:sz w:val="24"/>
              </w:rPr>
            </w:pPr>
            <w:r>
              <w:rPr>
                <w:rFonts w:hint="default" w:ascii="Times New Roman" w:hAnsi="Times New Roman" w:cs="Times New Roman"/>
                <w:bCs/>
                <w:color w:val="auto"/>
                <w:kern w:val="21"/>
                <w:sz w:val="24"/>
              </w:rPr>
              <w:t>④生态环境准入清单</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21"/>
                <w:sz w:val="24"/>
              </w:rPr>
            </w:pPr>
            <w:r>
              <w:rPr>
                <w:rFonts w:hint="default" w:ascii="Times New Roman" w:hAnsi="Times New Roman" w:cs="Times New Roman"/>
                <w:color w:val="auto"/>
                <w:kern w:val="21"/>
                <w:sz w:val="24"/>
              </w:rPr>
              <w:t>根据</w:t>
            </w:r>
            <w:r>
              <w:rPr>
                <w:rFonts w:hint="eastAsia" w:ascii="Times New Roman" w:hAnsi="Times New Roman" w:cs="Times New Roman"/>
                <w:color w:val="auto"/>
                <w:kern w:val="21"/>
                <w:sz w:val="24"/>
                <w:lang w:val="en-US" w:eastAsia="zh-CN"/>
              </w:rPr>
              <w:t>海东市</w:t>
            </w:r>
            <w:r>
              <w:rPr>
                <w:rFonts w:hint="default" w:ascii="Times New Roman" w:hAnsi="Times New Roman" w:cs="Times New Roman"/>
                <w:color w:val="auto"/>
                <w:kern w:val="21"/>
                <w:sz w:val="24"/>
              </w:rPr>
              <w:t>人民政府文件</w:t>
            </w:r>
            <w:r>
              <w:rPr>
                <w:rFonts w:hint="default" w:ascii="Times New Roman" w:hAnsi="Times New Roman" w:cs="Times New Roman"/>
                <w:color w:val="auto"/>
              </w:rPr>
              <w:t>《</w:t>
            </w:r>
            <w:r>
              <w:rPr>
                <w:rFonts w:hint="eastAsia" w:cs="Times New Roman"/>
                <w:color w:val="auto"/>
                <w:lang w:val="en-US" w:eastAsia="zh-CN"/>
              </w:rPr>
              <w:t>关于印发海东市生态环境分区管控动态更新成果的通知</w:t>
            </w:r>
            <w:r>
              <w:rPr>
                <w:rFonts w:hint="default" w:ascii="Times New Roman" w:hAnsi="Times New Roman" w:cs="Times New Roman"/>
                <w:color w:val="auto"/>
              </w:rPr>
              <w:t>》</w:t>
            </w:r>
            <w:r>
              <w:rPr>
                <w:rFonts w:hint="eastAsia" w:cs="Times New Roman"/>
                <w:color w:val="auto"/>
                <w:lang w:eastAsia="zh-CN"/>
              </w:rPr>
              <w:t>（</w:t>
            </w:r>
            <w:r>
              <w:rPr>
                <w:rFonts w:hint="eastAsia" w:cs="Times New Roman"/>
                <w:color w:val="auto"/>
                <w:lang w:val="en-US" w:eastAsia="zh-CN"/>
              </w:rPr>
              <w:t>东政办〔2024〕47号</w:t>
            </w:r>
            <w:r>
              <w:rPr>
                <w:rFonts w:hint="eastAsia" w:cs="Times New Roman"/>
                <w:color w:val="auto"/>
                <w:lang w:eastAsia="zh-CN"/>
              </w:rPr>
              <w:t>）</w:t>
            </w:r>
            <w:r>
              <w:rPr>
                <w:rFonts w:hint="default" w:ascii="Times New Roman" w:hAnsi="Times New Roman" w:cs="Times New Roman"/>
                <w:color w:val="auto"/>
                <w:kern w:val="21"/>
                <w:sz w:val="24"/>
              </w:rPr>
              <w:t>中</w:t>
            </w:r>
            <w:r>
              <w:rPr>
                <w:rFonts w:hint="eastAsia" w:ascii="Times New Roman" w:hAnsi="Times New Roman" w:cs="Times New Roman"/>
                <w:color w:val="auto"/>
                <w:kern w:val="21"/>
                <w:sz w:val="24"/>
                <w:lang w:val="en-US" w:eastAsia="zh-CN"/>
              </w:rPr>
              <w:t>化隆县</w:t>
            </w:r>
            <w:r>
              <w:rPr>
                <w:rFonts w:hint="default" w:ascii="Times New Roman" w:hAnsi="Times New Roman" w:cs="Times New Roman"/>
                <w:color w:val="auto"/>
                <w:kern w:val="21"/>
                <w:sz w:val="24"/>
              </w:rPr>
              <w:t>环境管控单元生态环境准入清单，本项目位于化隆县甘都镇桥头村，根据管控区的划分，本项目位于化隆县一般管控单元，环境管控单元编码：ZH63022430002，代码YB353。</w:t>
            </w:r>
          </w:p>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表1-1与</w:t>
            </w:r>
            <w:r>
              <w:rPr>
                <w:rFonts w:hint="eastAsia" w:ascii="Times New Roman" w:hAnsi="Times New Roman" w:cs="Times New Roman"/>
                <w:b/>
                <w:color w:val="auto"/>
                <w:sz w:val="21"/>
                <w:szCs w:val="21"/>
                <w:lang w:val="en-US" w:eastAsia="zh-CN"/>
              </w:rPr>
              <w:t>化隆县</w:t>
            </w:r>
            <w:r>
              <w:rPr>
                <w:rFonts w:hint="default" w:ascii="Times New Roman" w:hAnsi="Times New Roman" w:cs="Times New Roman"/>
                <w:b/>
                <w:color w:val="auto"/>
                <w:sz w:val="21"/>
                <w:szCs w:val="21"/>
              </w:rPr>
              <w:t>一般管控单元环境管控单元生态环境准入清单符合性分析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046"/>
              <w:gridCol w:w="2069"/>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管控领域</w:t>
                  </w:r>
                </w:p>
              </w:tc>
              <w:tc>
                <w:tcPr>
                  <w:tcW w:w="1607"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环境准入与管控要求（</w:t>
                  </w:r>
                  <w:r>
                    <w:rPr>
                      <w:rFonts w:hint="eastAsia" w:ascii="Times New Roman" w:hAnsi="Times New Roman" w:cs="Times New Roman"/>
                      <w:b/>
                      <w:bCs/>
                      <w:color w:val="auto"/>
                      <w:kern w:val="0"/>
                      <w:sz w:val="21"/>
                      <w:szCs w:val="21"/>
                      <w:lang w:val="en-US" w:eastAsia="zh-CN"/>
                    </w:rPr>
                    <w:t>一般</w:t>
                  </w:r>
                  <w:r>
                    <w:rPr>
                      <w:rFonts w:hint="default" w:ascii="Times New Roman" w:hAnsi="Times New Roman" w:cs="Times New Roman"/>
                      <w:b/>
                      <w:bCs/>
                      <w:color w:val="auto"/>
                      <w:kern w:val="0"/>
                      <w:sz w:val="21"/>
                      <w:szCs w:val="21"/>
                    </w:rPr>
                    <w:t>管控单元）</w:t>
                  </w:r>
                </w:p>
              </w:tc>
              <w:tc>
                <w:tcPr>
                  <w:tcW w:w="162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本项目</w:t>
                  </w:r>
                </w:p>
              </w:tc>
              <w:tc>
                <w:tcPr>
                  <w:tcW w:w="87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空间布局约束</w:t>
                  </w:r>
                </w:p>
              </w:tc>
              <w:tc>
                <w:tcPr>
                  <w:tcW w:w="1607" w:type="pct"/>
                  <w:noWrap w:val="0"/>
                  <w:vAlign w:val="center"/>
                </w:tcPr>
                <w:p>
                  <w:pPr>
                    <w:autoSpaceDE w:val="0"/>
                    <w:autoSpaceDN w:val="0"/>
                    <w:adjustRightInd w:val="0"/>
                    <w:snapToGrid w:val="0"/>
                    <w:spacing w:line="288"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1.区域内禁止新建印染</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染整</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精加工、皮革鞣制加工、纸浆制造、有色冶炼、石油化</w:t>
                  </w:r>
                  <w:r>
                    <w:rPr>
                      <w:rFonts w:hint="eastAsia" w:cs="Times New Roman"/>
                      <w:color w:val="auto"/>
                      <w:kern w:val="0"/>
                      <w:sz w:val="21"/>
                      <w:szCs w:val="21"/>
                      <w:lang w:val="en-US" w:eastAsia="zh-CN"/>
                    </w:rPr>
                    <w:t>工</w:t>
                  </w:r>
                  <w:r>
                    <w:rPr>
                      <w:rFonts w:hint="default" w:ascii="Times New Roman" w:hAnsi="Times New Roman" w:cs="Times New Roman"/>
                      <w:color w:val="auto"/>
                      <w:kern w:val="0"/>
                      <w:sz w:val="21"/>
                      <w:szCs w:val="21"/>
                    </w:rPr>
                    <w:t>、火电、钢铁、焦化、化工、建材、铸造等项目。</w:t>
                  </w:r>
                </w:p>
                <w:p>
                  <w:pPr>
                    <w:autoSpaceDE w:val="0"/>
                    <w:autoSpaceDN w:val="0"/>
                    <w:adjustRightInd w:val="0"/>
                    <w:snapToGrid w:val="0"/>
                    <w:spacing w:line="288"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2.禁止在邻近基本农</w:t>
                  </w:r>
                  <w:r>
                    <w:rPr>
                      <w:rFonts w:hint="eastAsia" w:cs="Times New Roman"/>
                      <w:color w:val="auto"/>
                      <w:kern w:val="0"/>
                      <w:sz w:val="21"/>
                      <w:szCs w:val="21"/>
                      <w:lang w:val="en-US" w:eastAsia="zh-CN"/>
                    </w:rPr>
                    <w:t>田</w:t>
                  </w:r>
                  <w:r>
                    <w:rPr>
                      <w:rFonts w:hint="default" w:ascii="Times New Roman" w:hAnsi="Times New Roman" w:cs="Times New Roman"/>
                      <w:color w:val="auto"/>
                      <w:kern w:val="0"/>
                      <w:sz w:val="21"/>
                      <w:szCs w:val="21"/>
                    </w:rPr>
                    <w:t>区域新增排放重金属和多环芳烃、石油烃等有机污染物的开发建设活动。</w:t>
                  </w:r>
                </w:p>
                <w:p>
                  <w:pPr>
                    <w:autoSpaceDE w:val="0"/>
                    <w:autoSpaceDN w:val="0"/>
                    <w:adjustRightInd w:val="0"/>
                    <w:snapToGrid w:val="0"/>
                    <w:spacing w:line="288"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3.执行海东市生态环境管控要求中第二十二条关于河湟谷地空间布局约束的准入要求。</w:t>
                  </w:r>
                  <w:r>
                    <w:rPr>
                      <w:rFonts w:hint="default" w:ascii="Times New Roman" w:hAnsi="Times New Roman" w:cs="Times New Roman"/>
                      <w:color w:val="auto"/>
                      <w:kern w:val="0"/>
                      <w:sz w:val="21"/>
                      <w:szCs w:val="21"/>
                    </w:rPr>
                    <w:cr/>
                  </w:r>
                </w:p>
              </w:tc>
              <w:tc>
                <w:tcPr>
                  <w:tcW w:w="1625" w:type="pct"/>
                  <w:noWrap w:val="0"/>
                  <w:vAlign w:val="center"/>
                </w:tcPr>
                <w:p>
                  <w:pPr>
                    <w:widowControl w:val="0"/>
                    <w:spacing w:line="360" w:lineRule="auto"/>
                    <w:ind w:firstLine="0" w:firstLineChars="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本项目属于防洪</w:t>
                  </w:r>
                  <w:r>
                    <w:rPr>
                      <w:rFonts w:hint="default" w:ascii="Times New Roman" w:hAnsi="Times New Roman" w:cs="Times New Roman"/>
                      <w:color w:val="auto"/>
                      <w:sz w:val="21"/>
                      <w:szCs w:val="21"/>
                      <w:lang w:val="en-US" w:eastAsia="zh-CN"/>
                    </w:rPr>
                    <w:t>工程</w:t>
                  </w:r>
                  <w:r>
                    <w:rPr>
                      <w:rFonts w:hint="default" w:ascii="Times New Roman" w:hAnsi="Times New Roman" w:cs="Times New Roman"/>
                      <w:color w:val="auto"/>
                      <w:sz w:val="21"/>
                      <w:szCs w:val="21"/>
                    </w:rPr>
                    <w:t>，运营期不产生污染物，工程的实施不但可提高防洪能力，同时可以减少水土流失，其经济效益、社会效益、生态效益显著</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bidi="ar-SA"/>
                    </w:rPr>
                    <w:t>本项目不涉及</w:t>
                  </w:r>
                  <w:r>
                    <w:rPr>
                      <w:rFonts w:hint="eastAsia" w:ascii="Times New Roman" w:hAnsi="Times New Roman" w:eastAsia="宋体" w:cs="Times New Roman"/>
                      <w:color w:val="auto"/>
                      <w:sz w:val="21"/>
                      <w:szCs w:val="21"/>
                      <w:lang w:val="en-US" w:eastAsia="zh-CN" w:bidi="ar-SA"/>
                    </w:rPr>
                    <w:t>空间布局约束中的3条内容。</w:t>
                  </w:r>
                </w:p>
              </w:tc>
              <w:tc>
                <w:tcPr>
                  <w:tcW w:w="87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污染物排放管控</w:t>
                  </w:r>
                </w:p>
              </w:tc>
              <w:tc>
                <w:tcPr>
                  <w:tcW w:w="1607"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1.执行海东市生态环境管控要求第五条关于污染物排放管控的准入要求。</w:t>
                  </w:r>
                </w:p>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2.执行海东市生态环境管控要求第二十三条关于河湟谷地污染物排放管控的准入要求。</w:t>
                  </w:r>
                </w:p>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3.加快城镇污水处理厂建设和改造，加快推进重点乡镇生活污水处理设施建设。</w:t>
                  </w:r>
                </w:p>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4.禁养区外新建、扩建和改建规模化畜禽养殖场</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小区</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，要配套建设粪便污水贮存、处理、利用设施。现有未配套上述设施的规模化畜禽养殖场</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小区</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，应限期完成改造。</w:t>
                  </w:r>
                </w:p>
              </w:tc>
              <w:tc>
                <w:tcPr>
                  <w:tcW w:w="162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sz w:val="21"/>
                      <w:szCs w:val="21"/>
                    </w:rPr>
                    <w:t>本项目属于防洪</w:t>
                  </w:r>
                  <w:r>
                    <w:rPr>
                      <w:rFonts w:hint="default" w:ascii="Times New Roman" w:hAnsi="Times New Roman" w:cs="Times New Roman"/>
                      <w:color w:val="auto"/>
                      <w:sz w:val="21"/>
                      <w:szCs w:val="21"/>
                      <w:lang w:val="en-US" w:eastAsia="zh-CN"/>
                    </w:rPr>
                    <w:t>工程</w:t>
                  </w:r>
                  <w:r>
                    <w:rPr>
                      <w:rFonts w:hint="default" w:ascii="Times New Roman" w:hAnsi="Times New Roman" w:cs="Times New Roman"/>
                      <w:color w:val="auto"/>
                      <w:sz w:val="21"/>
                      <w:szCs w:val="21"/>
                    </w:rPr>
                    <w:t>，运营期不产生污染物，工程的实施不但可提高防洪能力，同时可以减少水土流失，其经济效益、社会效益、生态效益显著</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bidi="ar-SA"/>
                    </w:rPr>
                    <w:t>本项目不涉及</w:t>
                  </w:r>
                  <w:r>
                    <w:rPr>
                      <w:rFonts w:hint="eastAsia" w:ascii="Times New Roman" w:hAnsi="Times New Roman" w:cs="Times New Roman"/>
                      <w:color w:val="auto"/>
                      <w:sz w:val="21"/>
                      <w:szCs w:val="21"/>
                      <w:lang w:val="en-US" w:eastAsia="zh-CN" w:bidi="ar-SA"/>
                    </w:rPr>
                    <w:t>污染物排放管控</w:t>
                  </w:r>
                  <w:r>
                    <w:rPr>
                      <w:rFonts w:hint="eastAsia" w:ascii="Times New Roman" w:hAnsi="Times New Roman" w:eastAsia="宋体" w:cs="Times New Roman"/>
                      <w:color w:val="auto"/>
                      <w:sz w:val="21"/>
                      <w:szCs w:val="21"/>
                      <w:lang w:val="en-US" w:eastAsia="zh-CN" w:bidi="ar-SA"/>
                    </w:rPr>
                    <w:t>中的</w:t>
                  </w:r>
                  <w:r>
                    <w:rPr>
                      <w:rFonts w:hint="eastAsia" w:cs="Times New Roman"/>
                      <w:color w:val="auto"/>
                      <w:sz w:val="21"/>
                      <w:szCs w:val="21"/>
                      <w:lang w:val="en-US" w:eastAsia="zh-CN" w:bidi="ar-SA"/>
                    </w:rPr>
                    <w:t>4</w:t>
                  </w:r>
                  <w:r>
                    <w:rPr>
                      <w:rFonts w:hint="eastAsia" w:ascii="Times New Roman" w:hAnsi="Times New Roman" w:eastAsia="宋体" w:cs="Times New Roman"/>
                      <w:color w:val="auto"/>
                      <w:sz w:val="21"/>
                      <w:szCs w:val="21"/>
                      <w:lang w:val="en-US" w:eastAsia="zh-CN" w:bidi="ar-SA"/>
                    </w:rPr>
                    <w:t>条内容。</w:t>
                  </w:r>
                </w:p>
              </w:tc>
              <w:tc>
                <w:tcPr>
                  <w:tcW w:w="875"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环境风险防控</w:t>
                  </w:r>
                </w:p>
              </w:tc>
              <w:tc>
                <w:tcPr>
                  <w:tcW w:w="1607"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62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w:t>
                  </w:r>
                </w:p>
              </w:tc>
              <w:tc>
                <w:tcPr>
                  <w:tcW w:w="875"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资源开发效率要求</w:t>
                  </w:r>
                </w:p>
              </w:tc>
              <w:tc>
                <w:tcPr>
                  <w:tcW w:w="1607"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625" w:type="pct"/>
                  <w:noWrap w:val="0"/>
                  <w:vAlign w:val="center"/>
                </w:tcPr>
                <w:p>
                  <w:pPr>
                    <w:autoSpaceDE w:val="0"/>
                    <w:autoSpaceDN w:val="0"/>
                    <w:adjustRightInd w:val="0"/>
                    <w:snapToGrid w:val="0"/>
                    <w:spacing w:line="288"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w:t>
                  </w:r>
                </w:p>
              </w:tc>
              <w:tc>
                <w:tcPr>
                  <w:tcW w:w="875" w:type="pct"/>
                  <w:noWrap w:val="0"/>
                  <w:vAlign w:val="center"/>
                </w:tcPr>
                <w:p>
                  <w:pPr>
                    <w:autoSpaceDE w:val="0"/>
                    <w:autoSpaceDN w:val="0"/>
                    <w:adjustRightInd w:val="0"/>
                    <w:snapToGrid w:val="0"/>
                    <w:spacing w:line="288"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0"/>
              </w:rPr>
              <w:t>综上所述，本项目建设内容符合《</w:t>
            </w:r>
            <w:r>
              <w:rPr>
                <w:rFonts w:hint="eastAsia" w:ascii="Times New Roman" w:hAnsi="Times New Roman" w:cs="Times New Roman"/>
                <w:color w:val="auto"/>
                <w:sz w:val="24"/>
                <w:szCs w:val="20"/>
                <w:lang w:val="en-US" w:eastAsia="zh-CN"/>
              </w:rPr>
              <w:t>海东市、化隆县</w:t>
            </w:r>
            <w:r>
              <w:rPr>
                <w:rFonts w:hint="default" w:ascii="Times New Roman" w:hAnsi="Times New Roman" w:cs="Times New Roman"/>
                <w:color w:val="auto"/>
                <w:sz w:val="24"/>
                <w:szCs w:val="20"/>
              </w:rPr>
              <w:t>生态环境管控要求及准入清单》的相关要求，本项目与</w:t>
            </w:r>
            <w:r>
              <w:rPr>
                <w:rFonts w:hint="eastAsia" w:ascii="Times New Roman" w:hAnsi="Times New Roman" w:cs="Times New Roman"/>
                <w:color w:val="auto"/>
                <w:sz w:val="24"/>
                <w:szCs w:val="20"/>
                <w:lang w:val="en-US" w:eastAsia="zh-CN"/>
              </w:rPr>
              <w:t>化隆县</w:t>
            </w:r>
            <w:r>
              <w:rPr>
                <w:rFonts w:hint="default" w:ascii="Times New Roman" w:hAnsi="Times New Roman" w:cs="Times New Roman"/>
                <w:color w:val="auto"/>
                <w:sz w:val="24"/>
                <w:szCs w:val="20"/>
              </w:rPr>
              <w:t>环境管控单元位置关系图详见附图</w:t>
            </w:r>
            <w:r>
              <w:rPr>
                <w:rFonts w:hint="eastAsia" w:ascii="Times New Roman" w:hAnsi="Times New Roman" w:cs="Times New Roman"/>
                <w:color w:val="auto"/>
                <w:sz w:val="24"/>
                <w:szCs w:val="20"/>
                <w:lang w:val="en-US" w:eastAsia="zh-CN"/>
              </w:rPr>
              <w:t>5</w:t>
            </w:r>
            <w:r>
              <w:rPr>
                <w:rFonts w:hint="default" w:ascii="Times New Roman" w:hAnsi="Times New Roman" w:cs="Times New Roman"/>
                <w:color w:val="auto"/>
                <w:sz w:val="24"/>
                <w:szCs w:val="20"/>
              </w:rPr>
              <w:t>。</w:t>
            </w:r>
          </w:p>
        </w:tc>
      </w:tr>
    </w:tbl>
    <w:p>
      <w:pPr>
        <w:spacing w:line="360" w:lineRule="auto"/>
        <w:outlineLvl w:val="0"/>
        <w:rPr>
          <w:rFonts w:hint="default" w:ascii="Times New Roman" w:hAnsi="Times New Roman" w:eastAsia="黑体" w:cs="Times New Roman"/>
          <w:color w:val="auto"/>
          <w:sz w:val="30"/>
        </w:rPr>
        <w:sectPr>
          <w:footerReference r:id="rId6" w:type="default"/>
          <w:pgSz w:w="11906" w:h="16838"/>
          <w:pgMar w:top="1440" w:right="1800" w:bottom="1440" w:left="1800" w:header="851" w:footer="1077" w:gutter="0"/>
          <w:pgNumType w:fmt="numberInDash" w:start="1"/>
          <w:cols w:space="720" w:num="1"/>
          <w:docGrid w:linePitch="312" w:charSpace="0"/>
        </w:sectPr>
      </w:pPr>
    </w:p>
    <w:p>
      <w:pPr>
        <w:pStyle w:val="19"/>
        <w:jc w:val="center"/>
        <w:outlineLvl w:val="0"/>
        <w:rPr>
          <w:rFonts w:hint="default" w:ascii="Times New Roman" w:hAnsi="Times New Roman" w:eastAsia="黑体" w:cs="Times New Roman"/>
          <w:b/>
          <w:bCs/>
          <w:snapToGrid w:val="0"/>
          <w:color w:val="auto"/>
          <w:sz w:val="30"/>
          <w:szCs w:val="30"/>
        </w:rPr>
      </w:pPr>
      <w:bookmarkStart w:id="5" w:name="_Toc69334650"/>
      <w:r>
        <w:rPr>
          <w:rFonts w:hint="default" w:ascii="Times New Roman" w:hAnsi="Times New Roman" w:eastAsia="黑体" w:cs="Times New Roman"/>
          <w:b/>
          <w:bCs/>
          <w:snapToGrid w:val="0"/>
          <w:color w:val="auto"/>
          <w:sz w:val="30"/>
          <w:szCs w:val="30"/>
        </w:rPr>
        <w:t>二、建设内容</w:t>
      </w:r>
      <w:bookmarkEnd w:id="5"/>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57"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地</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理</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位</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置</w:t>
            </w:r>
          </w:p>
        </w:tc>
        <w:tc>
          <w:tcPr>
            <w:tcW w:w="8063" w:type="dxa"/>
            <w:vAlign w:val="center"/>
          </w:tcPr>
          <w:p>
            <w:pPr>
              <w:adjustRightInd w:val="0"/>
              <w:snapToGrid w:val="0"/>
              <w:spacing w:beforeLines="50" w:line="360" w:lineRule="auto"/>
              <w:ind w:firstLine="482" w:firstLineChars="200"/>
              <w:rPr>
                <w:rFonts w:hint="default" w:ascii="Times New Roman" w:hAnsi="Times New Roman" w:cs="Times New Roman"/>
                <w:b/>
                <w:color w:val="auto"/>
                <w:kern w:val="0"/>
              </w:rPr>
            </w:pPr>
            <w:r>
              <w:rPr>
                <w:rFonts w:hint="default" w:ascii="Times New Roman" w:hAnsi="Times New Roman" w:cs="Times New Roman"/>
                <w:b/>
                <w:color w:val="auto"/>
                <w:kern w:val="0"/>
              </w:rPr>
              <w:t>本工程位于青海省海东市化隆县</w:t>
            </w:r>
            <w:r>
              <w:rPr>
                <w:rFonts w:hint="default" w:ascii="Times New Roman" w:hAnsi="Times New Roman" w:cs="Times New Roman"/>
                <w:b/>
                <w:color w:val="auto"/>
                <w:kern w:val="0"/>
                <w:lang w:val="en-US" w:eastAsia="zh-CN"/>
              </w:rPr>
              <w:t>甘都镇</w:t>
            </w:r>
            <w:r>
              <w:rPr>
                <w:rFonts w:hint="default" w:ascii="Times New Roman" w:hAnsi="Times New Roman" w:cs="Times New Roman"/>
                <w:b/>
                <w:color w:val="auto"/>
                <w:kern w:val="0"/>
              </w:rPr>
              <w:t>。</w:t>
            </w:r>
          </w:p>
          <w:p>
            <w:pPr>
              <w:adjustRightInd w:val="0"/>
              <w:snapToGrid w:val="0"/>
              <w:spacing w:line="360" w:lineRule="auto"/>
              <w:ind w:firstLine="480" w:firstLineChars="200"/>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化隆县隶属于青海省海东市，位于青海省东部黄土高原与青藏高原过渡地带，海东市南部。县域总面积 2740 平方公里，化隆县共有 17 个乡镇，两个管委会，共有 362 个行政村，1126 个生产合作社。截至 2020 年，化隆县常住人口为200474人。化隆县地处黄河谷地北侧山地、沟谷地，地势自西北向东南倾斜，黄河流经县境西南部和南部，属青藏高原东部干旱区。化隆县东与民和县接连；南与循化、尖扎县隔河相望；西与贵德、湟中县接壤；北与平安、乐都毗邻。临平公路、乐化公路、阿赛公路、扎哈公路、平阿高速公路、燕官公路贯穿县境</w:t>
            </w:r>
            <w:r>
              <w:rPr>
                <w:rFonts w:hint="default" w:ascii="Times New Roman" w:hAnsi="Times New Roman" w:cs="Times New Roman"/>
                <w:color w:val="auto"/>
                <w:kern w:val="0"/>
                <w:lang w:eastAsia="zh-CN"/>
              </w:rPr>
              <w:t>。</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本工程位于化隆县甘都镇桥头村，距离县府 60km，距离西宁市 165km，项目区有省道及乡村道路沟通，交通十分方便。地理位置如附图1所示。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项</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目</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组</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成</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及</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规</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模</w:t>
            </w:r>
          </w:p>
        </w:tc>
        <w:tc>
          <w:tcPr>
            <w:tcW w:w="8063" w:type="dxa"/>
            <w:vAlign w:val="center"/>
          </w:tcPr>
          <w:p>
            <w:pPr>
              <w:spacing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1、工程等级及防洪标准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根据《防洪标准》（GB50201-2014）中的规定，统筹考虑沟道灾害造成的影响、经济损失及防护对象的重要性等因素，确定化隆县甘都镇桥头村山洪沟</w:t>
            </w:r>
            <w:r>
              <w:rPr>
                <w:rFonts w:hint="default" w:ascii="Times New Roman" w:hAnsi="Times New Roman" w:cs="Times New Roman"/>
                <w:color w:val="auto"/>
                <w:lang w:eastAsia="zh-CN"/>
              </w:rPr>
              <w:t>治理工程</w:t>
            </w:r>
            <w:r>
              <w:rPr>
                <w:rFonts w:hint="default" w:ascii="Times New Roman" w:hAnsi="Times New Roman" w:cs="Times New Roman"/>
                <w:color w:val="auto"/>
              </w:rPr>
              <w:t>防洪标准采用10年一遇洪水。工程</w:t>
            </w:r>
            <w:r>
              <w:rPr>
                <w:rFonts w:hint="eastAsia" w:cs="Times New Roman"/>
                <w:color w:val="auto"/>
                <w:lang w:val="en-US" w:eastAsia="zh-CN"/>
              </w:rPr>
              <w:t>等级</w:t>
            </w:r>
            <w:r>
              <w:rPr>
                <w:rFonts w:hint="default" w:ascii="Times New Roman" w:hAnsi="Times New Roman" w:cs="Times New Roman"/>
                <w:color w:val="auto"/>
              </w:rPr>
              <w:t>为Ⅴ等型，其主要建筑物级别为 5 级，临时建筑物级别为 5 级。</w:t>
            </w:r>
          </w:p>
          <w:p>
            <w:pPr>
              <w:spacing w:line="360" w:lineRule="auto"/>
              <w:rPr>
                <w:rFonts w:hint="default" w:ascii="Times New Roman" w:hAnsi="Times New Roman" w:cs="Times New Roman"/>
                <w:color w:val="auto"/>
              </w:rPr>
            </w:pPr>
            <w:r>
              <w:rPr>
                <w:rFonts w:hint="default" w:ascii="Times New Roman" w:hAnsi="Times New Roman" w:cs="Times New Roman"/>
                <w:b/>
                <w:bCs/>
                <w:color w:val="auto"/>
              </w:rPr>
              <w:t>2、工程任务</w:t>
            </w:r>
          </w:p>
          <w:p>
            <w:pPr>
              <w:widowControl/>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工程任务以防洪为主，在充分认识项目区防洪排洪现状的前提下，统一规划布置，完善项目区防洪排洪体系，提高沟道下游居民区、农田及其他公共基础设施防洪排洪能力，保护项目区桥头村、东六村共计580户2360名群众、900多亩耕地及其他公共基础设施的安全。</w:t>
            </w:r>
          </w:p>
          <w:p>
            <w:pPr>
              <w:widowControl/>
              <w:spacing w:line="360" w:lineRule="auto"/>
              <w:rPr>
                <w:rFonts w:hint="default" w:ascii="Times New Roman" w:hAnsi="Times New Roman" w:cs="Times New Roman"/>
                <w:b/>
                <w:bCs/>
                <w:color w:val="auto"/>
              </w:rPr>
            </w:pPr>
            <w:r>
              <w:rPr>
                <w:rFonts w:hint="default" w:ascii="Times New Roman" w:hAnsi="Times New Roman" w:cs="Times New Roman"/>
                <w:b/>
                <w:bCs/>
                <w:color w:val="auto"/>
              </w:rPr>
              <w:t>3、建设内容及规模</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工程治理河道</w:t>
            </w:r>
            <w:r>
              <w:rPr>
                <w:rFonts w:hint="default" w:ascii="Times New Roman" w:hAnsi="Times New Roman" w:cs="Times New Roman"/>
                <w:color w:val="auto"/>
              </w:rPr>
              <w:t>长3.0km，修建谷坊</w:t>
            </w:r>
            <w:r>
              <w:rPr>
                <w:rFonts w:hint="default" w:ascii="Times New Roman" w:hAnsi="Times New Roman" w:cs="Times New Roman"/>
                <w:color w:val="auto"/>
                <w:lang w:val="en-US" w:eastAsia="zh-CN"/>
              </w:rPr>
              <w:t>4</w:t>
            </w:r>
            <w:r>
              <w:rPr>
                <w:rFonts w:hint="default" w:ascii="Times New Roman" w:hAnsi="Times New Roman" w:cs="Times New Roman"/>
                <w:color w:val="auto"/>
              </w:rPr>
              <w:t>座，排洪渠1000m，防洪堤2800m，防冲坎12道，跨公路桥涵</w:t>
            </w:r>
            <w:r>
              <w:rPr>
                <w:rFonts w:hint="default" w:ascii="Times New Roman" w:hAnsi="Times New Roman" w:cs="Times New Roman"/>
                <w:color w:val="auto"/>
                <w:lang w:val="en-US" w:eastAsia="zh-CN"/>
              </w:rPr>
              <w:t>1</w:t>
            </w:r>
            <w:r>
              <w:rPr>
                <w:rFonts w:hint="default" w:ascii="Times New Roman" w:hAnsi="Times New Roman" w:cs="Times New Roman"/>
                <w:color w:val="auto"/>
              </w:rPr>
              <w:t>座。</w:t>
            </w:r>
          </w:p>
          <w:p>
            <w:pPr>
              <w:spacing w:line="360" w:lineRule="auto"/>
              <w:ind w:firstLine="424" w:firstLineChars="200"/>
              <w:rPr>
                <w:rFonts w:hint="default" w:ascii="Times New Roman" w:hAnsi="Times New Roman" w:cs="Times New Roman"/>
                <w:b/>
                <w:bCs/>
                <w:color w:val="auto"/>
                <w:szCs w:val="21"/>
              </w:rPr>
            </w:pPr>
            <w:r>
              <w:rPr>
                <w:rFonts w:hint="default" w:ascii="Times New Roman" w:hAnsi="Times New Roman" w:cs="Times New Roman"/>
                <w:color w:val="auto"/>
                <w:spacing w:val="-14"/>
                <w:lang w:val="en-US" w:eastAsia="zh-CN"/>
              </w:rPr>
              <w:t>工程</w:t>
            </w:r>
            <w:r>
              <w:rPr>
                <w:rFonts w:hint="default" w:ascii="Times New Roman" w:hAnsi="Times New Roman" w:cs="Times New Roman"/>
                <w:color w:val="auto"/>
                <w:spacing w:val="-14"/>
              </w:rPr>
              <w:t>区沟道属于季节性河道，除夏季洪水来临时有水，其余季节均属于干沟</w:t>
            </w:r>
            <w:r>
              <w:rPr>
                <w:rFonts w:hint="default" w:ascii="Times New Roman" w:hAnsi="Times New Roman" w:cs="Times New Roman"/>
                <w:color w:val="auto"/>
                <w:spacing w:val="-14"/>
                <w:lang w:eastAsia="zh-CN"/>
              </w:rPr>
              <w:t>，</w:t>
            </w:r>
            <w:r>
              <w:rPr>
                <w:rFonts w:hint="default" w:ascii="Times New Roman" w:hAnsi="Times New Roman" w:cs="Times New Roman"/>
                <w:color w:val="auto"/>
                <w:spacing w:val="-14"/>
                <w:lang w:val="en-US" w:eastAsia="zh-CN"/>
              </w:rPr>
              <w:t>故沟道内无污泥，本次建设不涉及清淤工程。</w:t>
            </w:r>
            <w:r>
              <w:rPr>
                <w:rFonts w:hint="default" w:ascii="Times New Roman" w:hAnsi="Times New Roman" w:cs="Times New Roman"/>
                <w:color w:val="auto"/>
              </w:rPr>
              <w:t>主要建设内容详见下表：</w:t>
            </w:r>
          </w:p>
          <w:p>
            <w:pPr>
              <w:jc w:val="center"/>
              <w:rPr>
                <w:rFonts w:hint="default" w:ascii="Times New Roman" w:hAnsi="Times New Roman" w:cs="Times New Roman"/>
                <w:b/>
                <w:bCs/>
                <w:color w:val="auto"/>
              </w:rPr>
            </w:pPr>
          </w:p>
          <w:p>
            <w:pPr>
              <w:jc w:val="center"/>
              <w:rPr>
                <w:rFonts w:hint="default" w:ascii="Times New Roman" w:hAnsi="Times New Roman" w:cs="Times New Roman"/>
                <w:b/>
                <w:bCs/>
                <w:color w:val="auto"/>
              </w:rPr>
            </w:pP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表2-1  主要建设内容一览表</w:t>
            </w:r>
          </w:p>
          <w:tbl>
            <w:tblPr>
              <w:tblStyle w:val="23"/>
              <w:tblW w:w="49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 w:type="dxa"/>
                <w:bottom w:w="0" w:type="dxa"/>
                <w:right w:w="10" w:type="dxa"/>
              </w:tblCellMar>
            </w:tblPr>
            <w:tblGrid>
              <w:gridCol w:w="573"/>
              <w:gridCol w:w="790"/>
              <w:gridCol w:w="64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877" w:type="pct"/>
                  <w:gridSpan w:val="2"/>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项目组成</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工程内容及规模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865" w:hRule="atLeast"/>
                <w:jc w:val="center"/>
              </w:trPr>
              <w:tc>
                <w:tcPr>
                  <w:tcW w:w="369" w:type="pct"/>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防洪渠</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7"/>
                      <w:sz w:val="21"/>
                      <w:szCs w:val="21"/>
                    </w:rPr>
                    <w:t xml:space="preserve">修建排洪渠 </w:t>
                  </w:r>
                  <w:r>
                    <w:rPr>
                      <w:rFonts w:hint="default" w:ascii="Times New Roman" w:hAnsi="Times New Roman" w:eastAsia="Times New Roman" w:cs="Times New Roman"/>
                      <w:color w:val="auto"/>
                      <w:spacing w:val="-6"/>
                      <w:sz w:val="21"/>
                      <w:szCs w:val="21"/>
                    </w:rPr>
                    <w:t>1000m</w:t>
                  </w:r>
                  <w:r>
                    <w:rPr>
                      <w:rFonts w:hint="default" w:ascii="Times New Roman" w:hAnsi="Times New Roman" w:cs="Times New Roman"/>
                      <w:color w:val="auto"/>
                      <w:spacing w:val="-6"/>
                      <w:sz w:val="21"/>
                      <w:szCs w:val="21"/>
                    </w:rPr>
                    <w:t>，排洪</w:t>
                  </w:r>
                  <w:r>
                    <w:rPr>
                      <w:rFonts w:hint="default" w:ascii="Times New Roman" w:hAnsi="Times New Roman" w:cs="Times New Roman"/>
                      <w:color w:val="auto"/>
                      <w:spacing w:val="-5"/>
                      <w:sz w:val="21"/>
                      <w:szCs w:val="21"/>
                    </w:rPr>
                    <w:t xml:space="preserve">渠工程从沟口桥涵 </w:t>
                  </w:r>
                  <w:r>
                    <w:rPr>
                      <w:rFonts w:hint="default" w:ascii="Times New Roman" w:hAnsi="Times New Roman" w:eastAsia="Times New Roman" w:cs="Times New Roman"/>
                      <w:color w:val="auto"/>
                      <w:spacing w:val="-2"/>
                      <w:sz w:val="21"/>
                      <w:szCs w:val="21"/>
                    </w:rPr>
                    <w:t>0+000</w:t>
                  </w:r>
                  <w:r>
                    <w:rPr>
                      <w:rFonts w:hint="default" w:ascii="Times New Roman" w:hAnsi="Times New Roman" w:eastAsia="Times New Roman" w:cs="Times New Roman"/>
                      <w:color w:val="auto"/>
                      <w:spacing w:val="-13"/>
                      <w:sz w:val="21"/>
                      <w:szCs w:val="21"/>
                    </w:rPr>
                    <w:t xml:space="preserve"> </w:t>
                  </w:r>
                  <w:r>
                    <w:rPr>
                      <w:rFonts w:hint="default" w:ascii="Times New Roman" w:hAnsi="Times New Roman" w:cs="Times New Roman"/>
                      <w:color w:val="auto"/>
                      <w:spacing w:val="-9"/>
                      <w:sz w:val="21"/>
                      <w:szCs w:val="21"/>
                    </w:rPr>
                    <w:t xml:space="preserve">开始至 </w:t>
                  </w:r>
                  <w:r>
                    <w:rPr>
                      <w:rFonts w:hint="default" w:ascii="Times New Roman" w:hAnsi="Times New Roman" w:eastAsia="Times New Roman" w:cs="Times New Roman"/>
                      <w:color w:val="auto"/>
                      <w:spacing w:val="-2"/>
                      <w:sz w:val="21"/>
                      <w:szCs w:val="21"/>
                    </w:rPr>
                    <w:t>1+000</w:t>
                  </w:r>
                  <w:r>
                    <w:rPr>
                      <w:rFonts w:hint="default" w:ascii="Times New Roman" w:hAnsi="Times New Roman" w:eastAsia="Times New Roman" w:cs="Times New Roman"/>
                      <w:color w:val="auto"/>
                      <w:spacing w:val="-12"/>
                      <w:sz w:val="21"/>
                      <w:szCs w:val="21"/>
                    </w:rPr>
                    <w:t xml:space="preserve"> </w:t>
                  </w:r>
                  <w:r>
                    <w:rPr>
                      <w:rFonts w:hint="default" w:ascii="Times New Roman" w:hAnsi="Times New Roman" w:cs="Times New Roman"/>
                      <w:color w:val="auto"/>
                      <w:spacing w:val="-14"/>
                      <w:sz w:val="21"/>
                      <w:szCs w:val="21"/>
                    </w:rPr>
                    <w:t>处结束，排洪渠沿原沟道走向布置，采用</w:t>
                  </w:r>
                  <w:r>
                    <w:rPr>
                      <w:rFonts w:hint="default" w:ascii="Times New Roman" w:hAnsi="Times New Roman" w:cs="Times New Roman"/>
                      <w:color w:val="auto"/>
                      <w:spacing w:val="-2"/>
                      <w:sz w:val="21"/>
                      <w:szCs w:val="21"/>
                    </w:rPr>
                    <w:t xml:space="preserve">钢筋混凝土明渠结构，排洪渠于桩号 </w:t>
                  </w:r>
                  <w:r>
                    <w:rPr>
                      <w:rFonts w:hint="default" w:ascii="Times New Roman" w:hAnsi="Times New Roman" w:eastAsia="Times New Roman" w:cs="Times New Roman"/>
                      <w:color w:val="auto"/>
                      <w:sz w:val="21"/>
                      <w:szCs w:val="21"/>
                    </w:rPr>
                    <w:t>0+000</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0+710</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0+85</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处与已建桥涵护坡</w:t>
                  </w:r>
                  <w:r>
                    <w:rPr>
                      <w:rFonts w:hint="default" w:ascii="Times New Roman" w:hAnsi="Times New Roman" w:cs="Times New Roman"/>
                      <w:color w:val="auto"/>
                      <w:spacing w:val="-14"/>
                      <w:sz w:val="21"/>
                      <w:szCs w:val="21"/>
                    </w:rPr>
                    <w:t>平顺衔接</w:t>
                  </w:r>
                  <w:r>
                    <w:rPr>
                      <w:rFonts w:hint="default" w:ascii="Times New Roman" w:hAnsi="Times New Roman" w:cs="Times New Roman"/>
                      <w:color w:val="auto"/>
                      <w:spacing w:val="-14"/>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32"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防洪堤</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pacing w:val="-14"/>
                      <w:sz w:val="21"/>
                      <w:szCs w:val="21"/>
                    </w:rPr>
                    <w:t xml:space="preserve">修建防洪堤 </w:t>
                  </w:r>
                  <w:r>
                    <w:rPr>
                      <w:rFonts w:hint="default" w:ascii="Times New Roman" w:hAnsi="Times New Roman" w:eastAsia="Times New Roman" w:cs="Times New Roman"/>
                      <w:color w:val="auto"/>
                      <w:spacing w:val="-4"/>
                      <w:sz w:val="21"/>
                      <w:szCs w:val="21"/>
                    </w:rPr>
                    <w:t>2800m</w:t>
                  </w:r>
                  <w:r>
                    <w:rPr>
                      <w:rFonts w:hint="default" w:ascii="Times New Roman" w:hAnsi="Times New Roman" w:cs="Times New Roman"/>
                      <w:color w:val="auto"/>
                      <w:spacing w:val="-6"/>
                      <w:sz w:val="21"/>
                      <w:szCs w:val="21"/>
                    </w:rPr>
                    <w:t xml:space="preserve">，防洪堤工程从沟道中心桩号 </w:t>
                  </w:r>
                  <w:r>
                    <w:rPr>
                      <w:rFonts w:hint="default" w:ascii="Times New Roman" w:hAnsi="Times New Roman" w:eastAsia="Times New Roman" w:cs="Times New Roman"/>
                      <w:color w:val="auto"/>
                      <w:spacing w:val="-4"/>
                      <w:sz w:val="21"/>
                      <w:szCs w:val="21"/>
                    </w:rPr>
                    <w:t>1+000</w:t>
                  </w:r>
                  <w:r>
                    <w:rPr>
                      <w:rFonts w:hint="default" w:ascii="Times New Roman" w:hAnsi="Times New Roman" w:eastAsia="Times New Roman" w:cs="Times New Roman"/>
                      <w:color w:val="auto"/>
                      <w:spacing w:val="-3"/>
                      <w:sz w:val="21"/>
                      <w:szCs w:val="21"/>
                    </w:rPr>
                    <w:t xml:space="preserve"> </w:t>
                  </w:r>
                  <w:r>
                    <w:rPr>
                      <w:rFonts w:hint="default" w:ascii="Times New Roman" w:hAnsi="Times New Roman" w:cs="Times New Roman"/>
                      <w:color w:val="auto"/>
                      <w:spacing w:val="-4"/>
                      <w:sz w:val="21"/>
                      <w:szCs w:val="21"/>
                    </w:rPr>
                    <w:t>处开始至入黄</w:t>
                  </w:r>
                  <w:r>
                    <w:rPr>
                      <w:rFonts w:hint="default" w:ascii="Times New Roman" w:hAnsi="Times New Roman" w:cs="Times New Roman"/>
                      <w:color w:val="auto"/>
                      <w:spacing w:val="-8"/>
                      <w:sz w:val="21"/>
                      <w:szCs w:val="21"/>
                    </w:rPr>
                    <w:t xml:space="preserve">河处桩号 </w:t>
                  </w:r>
                  <w:r>
                    <w:rPr>
                      <w:rFonts w:hint="default" w:ascii="Times New Roman" w:hAnsi="Times New Roman" w:eastAsia="Times New Roman" w:cs="Times New Roman"/>
                      <w:color w:val="auto"/>
                      <w:spacing w:val="-2"/>
                      <w:sz w:val="21"/>
                      <w:szCs w:val="21"/>
                    </w:rPr>
                    <w:t>2+400</w:t>
                  </w:r>
                  <w:r>
                    <w:rPr>
                      <w:rFonts w:hint="default" w:ascii="Times New Roman" w:hAnsi="Times New Roman" w:eastAsia="Times New Roman" w:cs="Times New Roman"/>
                      <w:color w:val="auto"/>
                      <w:spacing w:val="4"/>
                      <w:sz w:val="21"/>
                      <w:szCs w:val="21"/>
                    </w:rPr>
                    <w:t xml:space="preserve"> </w:t>
                  </w:r>
                  <w:r>
                    <w:rPr>
                      <w:rFonts w:hint="default" w:ascii="Times New Roman" w:hAnsi="Times New Roman" w:cs="Times New Roman"/>
                      <w:color w:val="auto"/>
                      <w:spacing w:val="-13"/>
                      <w:sz w:val="21"/>
                      <w:szCs w:val="21"/>
                    </w:rPr>
                    <w:t>结束，防洪堤沿原沟道走向布置，采用重力式混凝土结构双面防</w:t>
                  </w:r>
                  <w:r>
                    <w:rPr>
                      <w:rFonts w:hint="default" w:ascii="Times New Roman" w:hAnsi="Times New Roman" w:cs="Times New Roman"/>
                      <w:color w:val="auto"/>
                      <w:spacing w:val="-4"/>
                      <w:sz w:val="21"/>
                      <w:szCs w:val="21"/>
                    </w:rPr>
                    <w:t xml:space="preserve">护，防洪堤于沟道中心桩号 </w:t>
                  </w:r>
                  <w:r>
                    <w:rPr>
                      <w:rFonts w:hint="default" w:ascii="Times New Roman" w:hAnsi="Times New Roman" w:eastAsia="Times New Roman" w:cs="Times New Roman"/>
                      <w:color w:val="auto"/>
                      <w:spacing w:val="-2"/>
                      <w:sz w:val="21"/>
                      <w:szCs w:val="21"/>
                    </w:rPr>
                    <w:t>1+060</w:t>
                  </w:r>
                  <w:r>
                    <w:rPr>
                      <w:rFonts w:hint="default" w:ascii="Times New Roman" w:hAnsi="Times New Roman" w:cs="Times New Roman"/>
                      <w:color w:val="auto"/>
                      <w:spacing w:val="-2"/>
                      <w:sz w:val="21"/>
                      <w:szCs w:val="21"/>
                    </w:rPr>
                    <w:t>、</w:t>
                  </w:r>
                  <w:r>
                    <w:rPr>
                      <w:rFonts w:hint="default" w:ascii="Times New Roman" w:hAnsi="Times New Roman" w:eastAsia="Times New Roman" w:cs="Times New Roman"/>
                      <w:color w:val="auto"/>
                      <w:spacing w:val="-2"/>
                      <w:sz w:val="21"/>
                      <w:szCs w:val="21"/>
                    </w:rPr>
                    <w:t>1+840</w:t>
                  </w:r>
                  <w:r>
                    <w:rPr>
                      <w:rFonts w:hint="default" w:ascii="Times New Roman" w:hAnsi="Times New Roman" w:eastAsia="Times New Roman" w:cs="Times New Roman"/>
                      <w:color w:val="auto"/>
                      <w:spacing w:val="13"/>
                      <w:sz w:val="21"/>
                      <w:szCs w:val="21"/>
                    </w:rPr>
                    <w:t xml:space="preserve"> </w:t>
                  </w:r>
                  <w:r>
                    <w:rPr>
                      <w:rFonts w:hint="default" w:ascii="Times New Roman" w:hAnsi="Times New Roman" w:cs="Times New Roman"/>
                      <w:color w:val="auto"/>
                      <w:spacing w:val="-2"/>
                      <w:sz w:val="21"/>
                      <w:szCs w:val="21"/>
                    </w:rPr>
                    <w:t>处与已建桥涵护坡平顺衔接；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32"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防冲坎</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pacing w:val="-2"/>
                      <w:sz w:val="21"/>
                      <w:szCs w:val="21"/>
                    </w:rPr>
                    <w:t>修建防</w:t>
                  </w:r>
                  <w:r>
                    <w:rPr>
                      <w:rFonts w:hint="default" w:ascii="Times New Roman" w:hAnsi="Times New Roman" w:cs="Times New Roman"/>
                      <w:color w:val="auto"/>
                      <w:spacing w:val="-22"/>
                      <w:sz w:val="21"/>
                      <w:szCs w:val="21"/>
                    </w:rPr>
                    <w:t xml:space="preserve">冲坎 </w:t>
                  </w:r>
                  <w:r>
                    <w:rPr>
                      <w:rFonts w:hint="default" w:ascii="Times New Roman" w:hAnsi="Times New Roman" w:eastAsia="Times New Roman" w:cs="Times New Roman"/>
                      <w:color w:val="auto"/>
                      <w:spacing w:val="-2"/>
                      <w:sz w:val="21"/>
                      <w:szCs w:val="21"/>
                    </w:rPr>
                    <w:t>12</w:t>
                  </w:r>
                  <w:r>
                    <w:rPr>
                      <w:rFonts w:hint="default" w:ascii="Times New Roman" w:hAnsi="Times New Roman" w:eastAsia="Times New Roman" w:cs="Times New Roman"/>
                      <w:color w:val="auto"/>
                      <w:spacing w:val="-13"/>
                      <w:sz w:val="21"/>
                      <w:szCs w:val="21"/>
                    </w:rPr>
                    <w:t xml:space="preserve"> </w:t>
                  </w:r>
                  <w:r>
                    <w:rPr>
                      <w:rFonts w:hint="default" w:ascii="Times New Roman" w:hAnsi="Times New Roman" w:cs="Times New Roman"/>
                      <w:color w:val="auto"/>
                      <w:spacing w:val="-6"/>
                      <w:sz w:val="21"/>
                      <w:szCs w:val="21"/>
                    </w:rPr>
                    <w:t xml:space="preserve">座，于防洪堤起点至终点依次布置，每 </w:t>
                  </w:r>
                  <w:r>
                    <w:rPr>
                      <w:rFonts w:hint="default" w:ascii="Times New Roman" w:hAnsi="Times New Roman" w:eastAsia="Times New Roman" w:cs="Times New Roman"/>
                      <w:color w:val="auto"/>
                      <w:spacing w:val="-2"/>
                      <w:sz w:val="21"/>
                      <w:szCs w:val="21"/>
                    </w:rPr>
                    <w:t>100m</w:t>
                  </w:r>
                  <w:r>
                    <w:rPr>
                      <w:rFonts w:hint="default" w:ascii="Times New Roman" w:hAnsi="Times New Roman" w:eastAsia="Times New Roman" w:cs="Times New Roman"/>
                      <w:color w:val="auto"/>
                      <w:spacing w:val="-13"/>
                      <w:sz w:val="21"/>
                      <w:szCs w:val="21"/>
                    </w:rPr>
                    <w:t xml:space="preserve"> </w:t>
                  </w:r>
                  <w:r>
                    <w:rPr>
                      <w:rFonts w:hint="default" w:ascii="Times New Roman" w:hAnsi="Times New Roman" w:cs="Times New Roman"/>
                      <w:color w:val="auto"/>
                      <w:spacing w:val="-7"/>
                      <w:sz w:val="21"/>
                      <w:szCs w:val="21"/>
                    </w:rPr>
                    <w:t>设一道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32"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桥涵</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rPr>
                    <w:t>修建跨公路桥涵 1座，布置于沟道中心桩号 2+100 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32"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护栏</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both"/>
                    <w:textAlignment w:val="auto"/>
                    <w:rPr>
                      <w:rFonts w:hint="default" w:ascii="Times New Roman" w:hAnsi="Times New Roman" w:cs="Times New Roman"/>
                      <w:color w:val="auto"/>
                      <w:spacing w:val="-14"/>
                      <w:sz w:val="21"/>
                      <w:szCs w:val="21"/>
                    </w:rPr>
                  </w:pPr>
                  <w:r>
                    <w:rPr>
                      <w:rFonts w:hint="default" w:ascii="Times New Roman" w:hAnsi="Times New Roman" w:cs="Times New Roman"/>
                      <w:color w:val="auto"/>
                      <w:spacing w:val="-14"/>
                      <w:sz w:val="21"/>
                      <w:szCs w:val="21"/>
                    </w:rPr>
                    <w:t>排洪渠及防洪堤两岸设置钢筋混凝土结构护栏，护栏总长4800m（其中左岸2400m，右岸2400m）</w:t>
                  </w:r>
                  <w:r>
                    <w:rPr>
                      <w:rFonts w:hint="default" w:ascii="Times New Roman" w:hAnsi="Times New Roman" w:cs="Times New Roman"/>
                      <w:color w:val="auto"/>
                      <w:spacing w:val="-14"/>
                      <w:sz w:val="21"/>
                      <w:szCs w:val="21"/>
                      <w:lang w:eastAsia="zh-CN"/>
                    </w:rPr>
                    <w:t>，</w:t>
                  </w:r>
                  <w:r>
                    <w:rPr>
                      <w:rFonts w:hint="default" w:ascii="Times New Roman" w:hAnsi="Times New Roman" w:cs="Times New Roman"/>
                      <w:color w:val="auto"/>
                      <w:spacing w:val="-14"/>
                      <w:sz w:val="21"/>
                      <w:szCs w:val="21"/>
                    </w:rPr>
                    <w:t>护栏每2.5m设</w:t>
                  </w:r>
                  <w:r>
                    <w:rPr>
                      <w:rFonts w:hint="default" w:ascii="Times New Roman" w:hAnsi="Times New Roman" w:cs="Times New Roman"/>
                      <w:color w:val="auto"/>
                      <w:spacing w:val="-14"/>
                      <w:sz w:val="21"/>
                      <w:szCs w:val="21"/>
                      <w:lang w:val="en-US" w:eastAsia="zh-CN"/>
                    </w:rPr>
                    <w:t>1</w:t>
                  </w:r>
                  <w:r>
                    <w:rPr>
                      <w:rFonts w:hint="default" w:ascii="Times New Roman" w:hAnsi="Times New Roman" w:cs="Times New Roman"/>
                      <w:color w:val="auto"/>
                      <w:spacing w:val="-14"/>
                      <w:sz w:val="21"/>
                      <w:szCs w:val="21"/>
                    </w:rPr>
                    <w:t>根0.15×0.15m，高1.60m 的大立柱，护栏设横档三道，横档上间隔 0.15m</w:t>
                  </w:r>
                  <w:r>
                    <w:rPr>
                      <w:rFonts w:hint="default" w:ascii="Times New Roman" w:hAnsi="Times New Roman" w:cs="Times New Roman"/>
                      <w:color w:val="auto"/>
                      <w:spacing w:val="-14"/>
                      <w:sz w:val="21"/>
                      <w:szCs w:val="21"/>
                      <w:lang w:eastAsia="zh-CN"/>
                    </w:rPr>
                    <w:t>，</w:t>
                  </w:r>
                  <w:r>
                    <w:rPr>
                      <w:rFonts w:hint="default" w:ascii="Times New Roman" w:hAnsi="Times New Roman" w:cs="Times New Roman"/>
                      <w:color w:val="auto"/>
                      <w:spacing w:val="-14"/>
                      <w:sz w:val="21"/>
                      <w:szCs w:val="21"/>
                    </w:rPr>
                    <w:t>下间隔0.45m，横档截面尺寸0.10×0.10m，相邻大立柱中间设8根0.08×0.08m，高0.45m 的小立柱</w:t>
                  </w:r>
                  <w:r>
                    <w:rPr>
                      <w:rFonts w:hint="default" w:ascii="Times New Roman" w:hAnsi="Times New Roman" w:cs="Times New Roman"/>
                      <w:color w:val="auto"/>
                      <w:spacing w:val="-14"/>
                      <w:sz w:val="21"/>
                      <w:szCs w:val="21"/>
                      <w:lang w:val="en-US" w:eastAsia="zh-CN"/>
                    </w:rPr>
                    <w:t>，位于横档下间隔，立柱基础采用C25素混凝土。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53"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谷坊</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pacing w:val="-14"/>
                      <w:sz w:val="21"/>
                      <w:szCs w:val="21"/>
                      <w:lang w:eastAsia="zh-CN"/>
                    </w:rPr>
                  </w:pPr>
                  <w:r>
                    <w:rPr>
                      <w:rFonts w:hint="default" w:ascii="Times New Roman" w:hAnsi="Times New Roman" w:cs="Times New Roman"/>
                      <w:color w:val="auto"/>
                      <w:spacing w:val="-14"/>
                      <w:sz w:val="21"/>
                      <w:szCs w:val="21"/>
                    </w:rPr>
                    <w:t>新建 4 座 C25 素混凝土谷坊</w:t>
                  </w:r>
                  <w:r>
                    <w:rPr>
                      <w:rFonts w:hint="default" w:ascii="Times New Roman" w:hAnsi="Times New Roman" w:cs="Times New Roman"/>
                      <w:color w:val="auto"/>
                      <w:spacing w:val="-14"/>
                      <w:sz w:val="21"/>
                      <w:szCs w:val="21"/>
                      <w:lang w:eastAsia="zh-CN"/>
                    </w:rPr>
                    <w:t>，</w:t>
                  </w:r>
                  <w:r>
                    <w:rPr>
                      <w:rFonts w:hint="default" w:ascii="Times New Roman" w:hAnsi="Times New Roman" w:cs="Times New Roman"/>
                      <w:color w:val="auto"/>
                      <w:spacing w:val="-14"/>
                      <w:sz w:val="21"/>
                      <w:szCs w:val="21"/>
                    </w:rPr>
                    <w:t>谷坊从沟头至沟口依次布置</w:t>
                  </w:r>
                  <w:r>
                    <w:rPr>
                      <w:rFonts w:hint="default" w:ascii="Times New Roman" w:hAnsi="Times New Roman" w:cs="Times New Roman"/>
                      <w:color w:val="auto"/>
                      <w:spacing w:val="-14"/>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52" w:hRule="atLeast"/>
                <w:jc w:val="center"/>
              </w:trPr>
              <w:tc>
                <w:tcPr>
                  <w:tcW w:w="369" w:type="pct"/>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临时工程</w:t>
                  </w: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施工道路</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工程不设专门的临时道路，</w:t>
                  </w:r>
                  <w:r>
                    <w:rPr>
                      <w:rFonts w:hint="default" w:ascii="Times New Roman" w:hAnsi="Times New Roman" w:cs="Times New Roman"/>
                      <w:color w:val="auto"/>
                      <w:kern w:val="0"/>
                      <w:sz w:val="21"/>
                      <w:szCs w:val="21"/>
                      <w:lang w:val="en-US" w:eastAsia="zh-CN"/>
                    </w:rPr>
                    <w:t>利用乡间、田间道路。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48"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施工工区</w:t>
                  </w:r>
                </w:p>
              </w:tc>
              <w:tc>
                <w:tcPr>
                  <w:tcW w:w="4122" w:type="pct"/>
                  <w:vAlign w:val="center"/>
                </w:tcPr>
                <w:p>
                  <w:pPr>
                    <w:keepNext w:val="0"/>
                    <w:keepLines w:val="0"/>
                    <w:pageBreakBefore w:val="0"/>
                    <w:widowControl w:val="0"/>
                    <w:kinsoku/>
                    <w:wordWrap/>
                    <w:overflowPunct/>
                    <w:topLinePunct w:val="0"/>
                    <w:autoSpaceDN/>
                    <w:bidi w:val="0"/>
                    <w:spacing w:line="300" w:lineRule="auto"/>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布置</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zh-CN"/>
                    </w:rPr>
                    <w:t>处</w:t>
                  </w:r>
                  <w:r>
                    <w:rPr>
                      <w:rFonts w:hint="default" w:ascii="Times New Roman" w:hAnsi="Times New Roman" w:cs="Times New Roman"/>
                      <w:color w:val="auto"/>
                      <w:sz w:val="21"/>
                      <w:szCs w:val="21"/>
                      <w:lang w:val="en-US" w:eastAsia="zh-CN"/>
                    </w:rPr>
                    <w:t>施工</w:t>
                  </w:r>
                  <w:r>
                    <w:rPr>
                      <w:rFonts w:hint="default" w:ascii="Times New Roman" w:hAnsi="Times New Roman" w:cs="Times New Roman"/>
                      <w:color w:val="auto"/>
                      <w:sz w:val="21"/>
                      <w:szCs w:val="21"/>
                      <w:lang w:val="zh-CN"/>
                    </w:rPr>
                    <w:t>工区，占地0.06hm²，占地类型为</w:t>
                  </w:r>
                  <w:r>
                    <w:rPr>
                      <w:rFonts w:hint="default" w:ascii="Times New Roman" w:hAnsi="Times New Roman" w:cs="Times New Roman"/>
                      <w:color w:val="auto"/>
                      <w:sz w:val="21"/>
                      <w:szCs w:val="21"/>
                      <w:lang w:val="en-US" w:eastAsia="zh-CN"/>
                    </w:rPr>
                    <w:t>其他</w:t>
                  </w:r>
                  <w:r>
                    <w:rPr>
                      <w:rFonts w:hint="default" w:ascii="Times New Roman" w:hAnsi="Times New Roman" w:cs="Times New Roman"/>
                      <w:color w:val="auto"/>
                      <w:sz w:val="21"/>
                      <w:szCs w:val="21"/>
                      <w:lang w:val="zh-CN"/>
                    </w:rPr>
                    <w:t>草地和空地。主要用于施工机械、</w:t>
                  </w:r>
                  <w:r>
                    <w:rPr>
                      <w:rFonts w:hint="default" w:ascii="Times New Roman" w:hAnsi="Times New Roman" w:cs="Times New Roman"/>
                      <w:color w:val="auto"/>
                      <w:sz w:val="21"/>
                      <w:szCs w:val="21"/>
                      <w:lang w:val="en-US" w:eastAsia="zh-CN"/>
                    </w:rPr>
                    <w:t>建筑材料</w:t>
                  </w:r>
                  <w:r>
                    <w:rPr>
                      <w:rFonts w:hint="default" w:ascii="Times New Roman" w:hAnsi="Times New Roman" w:cs="Times New Roman"/>
                      <w:color w:val="auto"/>
                      <w:sz w:val="21"/>
                      <w:szCs w:val="21"/>
                      <w:lang w:val="zh-CN"/>
                    </w:rPr>
                    <w:t>等的堆放。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41"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施工营地</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设置1处施工营地，占地面积</w:t>
                  </w:r>
                  <w:r>
                    <w:rPr>
                      <w:rFonts w:hint="default" w:ascii="Times New Roman" w:hAnsi="Times New Roman" w:cs="Times New Roman"/>
                      <w:color w:val="auto"/>
                      <w:sz w:val="21"/>
                      <w:szCs w:val="21"/>
                      <w:lang w:val="zh-CN"/>
                    </w:rPr>
                    <w:t>0.0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zh-CN"/>
                    </w:rPr>
                    <w:t>hm²</w:t>
                  </w:r>
                  <w:r>
                    <w:rPr>
                      <w:rFonts w:hint="default" w:ascii="Times New Roman" w:hAnsi="Times New Roman" w:cs="Times New Roman"/>
                      <w:color w:val="auto"/>
                      <w:kern w:val="0"/>
                      <w:sz w:val="21"/>
                      <w:szCs w:val="21"/>
                    </w:rPr>
                    <w:t>，占地类型为</w:t>
                  </w:r>
                  <w:r>
                    <w:rPr>
                      <w:rFonts w:hint="default" w:ascii="Times New Roman" w:hAnsi="Times New Roman" w:cs="Times New Roman"/>
                      <w:color w:val="auto"/>
                      <w:kern w:val="0"/>
                      <w:sz w:val="21"/>
                      <w:szCs w:val="21"/>
                      <w:lang w:val="en-US" w:eastAsia="zh-CN"/>
                    </w:rPr>
                    <w:t>其他</w:t>
                  </w:r>
                  <w:r>
                    <w:rPr>
                      <w:rFonts w:hint="default" w:ascii="Times New Roman" w:hAnsi="Times New Roman" w:cs="Times New Roman"/>
                      <w:color w:val="auto"/>
                      <w:kern w:val="0"/>
                      <w:sz w:val="21"/>
                      <w:szCs w:val="21"/>
                    </w:rPr>
                    <w:t>草地。主要用于施工人员居住、吃饭等。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23" w:hRule="atLeast"/>
                <w:jc w:val="center"/>
              </w:trPr>
              <w:tc>
                <w:tcPr>
                  <w:tcW w:w="369" w:type="pct"/>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可从下游黄河中直接取用，生活用水可从项目区桥头村庄自来水就近取用</w:t>
                  </w:r>
                  <w:r>
                    <w:rPr>
                      <w:rFonts w:hint="default" w:ascii="Times New Roman" w:hAnsi="Times New Roman" w:cs="Times New Roman"/>
                      <w:color w:val="auto"/>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35"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项目区电力充足，10kv 电网遍及施工区，施工用电在施工阶段同供电局协商就近架设 0.4kv 专线到施工点</w:t>
                  </w:r>
                  <w:r>
                    <w:rPr>
                      <w:rFonts w:hint="default" w:ascii="Times New Roman" w:hAnsi="Times New Roman" w:cs="Times New Roman"/>
                      <w:color w:val="auto"/>
                      <w:sz w:val="21"/>
                      <w:szCs w:val="21"/>
                      <w:lang w:val="zh-CN"/>
                    </w:rPr>
                    <w:t>，可同时保证村内及施工用电。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50" w:hRule="atLeast"/>
                <w:jc w:val="center"/>
              </w:trPr>
              <w:tc>
                <w:tcPr>
                  <w:tcW w:w="369" w:type="pct"/>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盥洗用水用于</w:t>
                  </w:r>
                  <w:r>
                    <w:rPr>
                      <w:rFonts w:hint="eastAsia" w:cs="Times New Roman"/>
                      <w:bCs/>
                      <w:color w:val="auto"/>
                      <w:sz w:val="21"/>
                      <w:szCs w:val="21"/>
                      <w:lang w:val="en-US" w:eastAsia="zh-CN"/>
                    </w:rPr>
                    <w:t>场地</w:t>
                  </w:r>
                  <w:r>
                    <w:rPr>
                      <w:rFonts w:hint="default" w:ascii="Times New Roman" w:hAnsi="Times New Roman" w:cs="Times New Roman"/>
                      <w:bCs/>
                      <w:color w:val="auto"/>
                      <w:sz w:val="21"/>
                      <w:szCs w:val="21"/>
                    </w:rPr>
                    <w:t>洒水降尘；施工营地建临时防渗旱厕，清掏用于周边农田施肥；施工废水经设置</w:t>
                  </w:r>
                  <w:r>
                    <w:rPr>
                      <w:rFonts w:hint="default" w:ascii="Times New Roman" w:hAnsi="Times New Roman" w:cs="Times New Roman"/>
                      <w:bCs/>
                      <w:color w:val="auto"/>
                      <w:sz w:val="21"/>
                      <w:szCs w:val="21"/>
                      <w:lang w:val="en-US" w:eastAsia="zh-CN"/>
                    </w:rPr>
                    <w:t>1个</w:t>
                  </w:r>
                  <w:r>
                    <w:rPr>
                      <w:rFonts w:hint="default" w:ascii="Times New Roman" w:hAnsi="Times New Roman" w:cs="Times New Roman"/>
                      <w:bCs/>
                      <w:color w:val="auto"/>
                      <w:sz w:val="21"/>
                      <w:szCs w:val="21"/>
                    </w:rPr>
                    <w:t>移动式钢化沉淀池收集沉淀后回用于</w:t>
                  </w:r>
                  <w:r>
                    <w:rPr>
                      <w:rFonts w:hint="default" w:ascii="Times New Roman" w:hAnsi="Times New Roman" w:cs="Times New Roman"/>
                      <w:bCs/>
                      <w:color w:val="auto"/>
                      <w:sz w:val="21"/>
                      <w:szCs w:val="21"/>
                      <w:lang w:val="en-US" w:eastAsia="zh-CN"/>
                    </w:rPr>
                    <w:t>场地泼洒降尘</w:t>
                  </w:r>
                  <w:r>
                    <w:rPr>
                      <w:rFonts w:hint="default" w:ascii="Times New Roman" w:hAnsi="Times New Roman" w:cs="Times New Roman"/>
                      <w:bCs/>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90" w:hRule="atLeast"/>
                <w:jc w:val="center"/>
              </w:trPr>
              <w:tc>
                <w:tcPr>
                  <w:tcW w:w="369" w:type="pct"/>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土方开挖、回填过程中洒水施工；沟道两侧临时堆放的土方采用防尘网苫盖；运输车辆采用篷布遮盖</w:t>
                  </w:r>
                  <w:r>
                    <w:rPr>
                      <w:rFonts w:hint="default"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8" w:hRule="atLeast"/>
                <w:jc w:val="center"/>
              </w:trPr>
              <w:tc>
                <w:tcPr>
                  <w:tcW w:w="369" w:type="pct"/>
                  <w:vMerge w:val="continue"/>
                  <w:vAlign w:val="center"/>
                </w:tcPr>
                <w:p>
                  <w:pPr>
                    <w:keepNext w:val="0"/>
                    <w:keepLines w:val="0"/>
                    <w:pageBreakBefore w:val="0"/>
                    <w:widowControl w:val="0"/>
                    <w:kinsoku/>
                    <w:wordWrap/>
                    <w:overflowPunct/>
                    <w:topLinePunct w:val="0"/>
                    <w:autoSpaceDN/>
                    <w:bidi w:val="0"/>
                    <w:spacing w:line="300" w:lineRule="auto"/>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left"/>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施工营地设置</w:t>
                  </w:r>
                  <w:r>
                    <w:rPr>
                      <w:rFonts w:hint="default" w:ascii="Times New Roman" w:hAnsi="Times New Roman" w:cs="Times New Roman"/>
                      <w:bCs/>
                      <w:color w:val="auto"/>
                      <w:sz w:val="21"/>
                      <w:szCs w:val="21"/>
                      <w:lang w:val="en-US" w:eastAsia="zh-CN"/>
                    </w:rPr>
                    <w:t>1个</w:t>
                  </w:r>
                  <w:r>
                    <w:rPr>
                      <w:rFonts w:hint="default" w:ascii="Times New Roman" w:hAnsi="Times New Roman" w:cs="Times New Roman"/>
                      <w:bCs/>
                      <w:color w:val="auto"/>
                      <w:sz w:val="21"/>
                      <w:szCs w:val="21"/>
                    </w:rPr>
                    <w:t>垃圾桶，收集后清运至环卫部门指定地点；弃建筑材料能回收利用的回收利用，不能回收利用的定点分类堆放，并定期清运。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8" w:hRule="atLeast"/>
                <w:jc w:val="center"/>
              </w:trPr>
              <w:tc>
                <w:tcPr>
                  <w:tcW w:w="369" w:type="pct"/>
                  <w:vMerge w:val="continue"/>
                  <w:vAlign w:val="center"/>
                </w:tcPr>
                <w:p>
                  <w:pPr>
                    <w:keepNext w:val="0"/>
                    <w:keepLines w:val="0"/>
                    <w:pageBreakBefore w:val="0"/>
                    <w:widowControl w:val="0"/>
                    <w:kinsoku/>
                    <w:wordWrap/>
                    <w:overflowPunct/>
                    <w:topLinePunct w:val="0"/>
                    <w:autoSpaceDN/>
                    <w:bidi w:val="0"/>
                    <w:spacing w:line="300" w:lineRule="auto"/>
                    <w:textAlignment w:val="auto"/>
                    <w:rPr>
                      <w:rFonts w:hint="default" w:ascii="Times New Roman" w:hAnsi="Times New Roman" w:cs="Times New Roman"/>
                      <w:color w:val="auto"/>
                      <w:sz w:val="21"/>
                      <w:szCs w:val="21"/>
                    </w:rPr>
                  </w:pPr>
                </w:p>
              </w:tc>
              <w:tc>
                <w:tcPr>
                  <w:tcW w:w="508"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4122" w:type="pct"/>
                  <w:vAlign w:val="center"/>
                </w:tcPr>
                <w:p>
                  <w:pPr>
                    <w:keepNext w:val="0"/>
                    <w:keepLines w:val="0"/>
                    <w:pageBreakBefore w:val="0"/>
                    <w:widowControl w:val="0"/>
                    <w:kinsoku/>
                    <w:wordWrap/>
                    <w:overflowPunct/>
                    <w:topLinePunct w:val="0"/>
                    <w:autoSpaceDE w:val="0"/>
                    <w:autoSpaceDN/>
                    <w:bidi w:val="0"/>
                    <w:adjustRightInd w:val="0"/>
                    <w:snapToGrid w:val="0"/>
                    <w:spacing w:line="300" w:lineRule="auto"/>
                    <w:jc w:val="left"/>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施工结束后拆除各项临时设施；平整临时场地，</w:t>
                  </w:r>
                  <w:r>
                    <w:rPr>
                      <w:rFonts w:hint="default" w:ascii="Times New Roman" w:hAnsi="Times New Roman" w:cs="Times New Roman"/>
                      <w:bCs/>
                      <w:color w:val="auto"/>
                      <w:sz w:val="21"/>
                      <w:szCs w:val="21"/>
                      <w:lang w:val="en-US" w:eastAsia="zh-CN"/>
                    </w:rPr>
                    <w:t>对占用的临时草地</w:t>
                  </w:r>
                  <w:r>
                    <w:rPr>
                      <w:rFonts w:hint="default" w:ascii="Times New Roman" w:hAnsi="Times New Roman" w:cs="Times New Roman"/>
                      <w:bCs/>
                      <w:color w:val="auto"/>
                      <w:sz w:val="21"/>
                      <w:szCs w:val="21"/>
                    </w:rPr>
                    <w:t>恢复植被并养护，播撒适宜当地生长的草籽。</w:t>
                  </w:r>
                </w:p>
              </w:tc>
            </w:tr>
          </w:tbl>
          <w:p>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4、主要建筑物设计</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rPr>
              <w:t>（1）</w:t>
            </w:r>
            <w:r>
              <w:rPr>
                <w:rFonts w:hint="default" w:ascii="Times New Roman" w:hAnsi="Times New Roman" w:cs="Times New Roman"/>
                <w:b/>
                <w:color w:val="auto"/>
                <w:kern w:val="0"/>
                <w:lang w:val="en-US" w:eastAsia="zh-CN"/>
              </w:rPr>
              <w:t>排洪渠</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排洪渠采用C25F200 钢筋混凝土整体现浇，渠道底宽3.5m，渠深2.2m，排洪渠采用C25F200 钢筋混凝土整体现浇。渠道边墙厚30cm、底板厚30cm。在渠顶每隔4m设20×20cm横梁一道。排洪渠每隔 9m 设伸缩缝一道，采用沥青栅板填缝。排洪渠基础处理采用30cm厚砂砾石垫层加10cm厚素砼垫层。开挖边坡为 1:0.5，大于5m时采用1:1。</w:t>
            </w:r>
          </w:p>
          <w:p>
            <w:pPr>
              <w:pStyle w:val="22"/>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4777740" cy="2613660"/>
                  <wp:effectExtent l="0" t="0" r="381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4777740" cy="2613660"/>
                          </a:xfrm>
                          <a:prstGeom prst="rect">
                            <a:avLst/>
                          </a:prstGeom>
                          <a:noFill/>
                          <a:ln>
                            <a:noFill/>
                          </a:ln>
                        </pic:spPr>
                      </pic:pic>
                    </a:graphicData>
                  </a:graphic>
                </wp:inline>
              </w:drawing>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图2-1</w:t>
            </w:r>
            <w:r>
              <w:rPr>
                <w:rFonts w:hint="default" w:ascii="Times New Roman" w:hAnsi="Times New Roman" w:cs="Times New Roman"/>
                <w:b/>
                <w:bCs/>
                <w:color w:val="auto"/>
                <w:lang w:val="en-US" w:eastAsia="zh-CN"/>
              </w:rPr>
              <w:tab/>
            </w:r>
            <w:r>
              <w:rPr>
                <w:rFonts w:hint="default" w:ascii="Times New Roman" w:hAnsi="Times New Roman" w:cs="Times New Roman"/>
                <w:b/>
                <w:bCs/>
                <w:color w:val="auto"/>
                <w:lang w:val="en-US" w:eastAsia="zh-CN"/>
              </w:rPr>
              <w:t xml:space="preserve">  渠道结构图</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防洪堤</w:t>
            </w:r>
          </w:p>
          <w:p>
            <w:pPr>
              <w:adjustRightInd w:val="0"/>
              <w:snapToGrid w:val="0"/>
              <w:spacing w:line="360" w:lineRule="auto"/>
              <w:ind w:firstLine="456" w:firstLineChars="200"/>
              <w:rPr>
                <w:rFonts w:hint="default" w:ascii="Times New Roman" w:hAnsi="Times New Roman" w:cs="Times New Roman"/>
                <w:color w:val="auto"/>
              </w:rPr>
            </w:pPr>
            <w:r>
              <w:rPr>
                <w:rFonts w:hint="default" w:ascii="Times New Roman" w:hAnsi="Times New Roman" w:cs="Times New Roman"/>
                <w:color w:val="auto"/>
                <w:spacing w:val="-6"/>
              </w:rPr>
              <w:t xml:space="preserve">工程新建防洪堤 </w:t>
            </w:r>
            <w:r>
              <w:rPr>
                <w:rFonts w:hint="default" w:ascii="Times New Roman" w:hAnsi="Times New Roman" w:eastAsia="Times New Roman" w:cs="Times New Roman"/>
                <w:color w:val="auto"/>
              </w:rPr>
              <w:t>2800.00m</w:t>
            </w:r>
            <w:r>
              <w:rPr>
                <w:rFonts w:hint="default" w:ascii="Times New Roman" w:hAnsi="Times New Roman" w:cs="Times New Roman"/>
                <w:color w:val="auto"/>
              </w:rPr>
              <w:t>（</w:t>
            </w:r>
            <w:r>
              <w:rPr>
                <w:rFonts w:hint="default" w:ascii="Times New Roman" w:hAnsi="Times New Roman" w:cs="Times New Roman"/>
                <w:color w:val="auto"/>
                <w:spacing w:val="-10"/>
              </w:rPr>
              <w:t xml:space="preserve">其中左岸 </w:t>
            </w:r>
            <w:r>
              <w:rPr>
                <w:rFonts w:hint="default" w:ascii="Times New Roman" w:hAnsi="Times New Roman" w:eastAsia="Times New Roman" w:cs="Times New Roman"/>
                <w:color w:val="auto"/>
              </w:rPr>
              <w:t>1400m</w:t>
            </w:r>
            <w:r>
              <w:rPr>
                <w:rFonts w:hint="default" w:ascii="Times New Roman" w:hAnsi="Times New Roman" w:cs="Times New Roman"/>
                <w:color w:val="auto"/>
                <w:spacing w:val="-12"/>
              </w:rPr>
              <w:t xml:space="preserve">，右岸 </w:t>
            </w:r>
            <w:r>
              <w:rPr>
                <w:rFonts w:hint="default" w:ascii="Times New Roman" w:hAnsi="Times New Roman" w:eastAsia="Times New Roman" w:cs="Times New Roman"/>
                <w:color w:val="auto"/>
              </w:rPr>
              <w:t>1400m</w:t>
            </w:r>
            <w:r>
              <w:rPr>
                <w:rFonts w:hint="default" w:ascii="Times New Roman" w:hAnsi="Times New Roman" w:cs="Times New Roman"/>
                <w:color w:val="auto"/>
              </w:rPr>
              <w:t>）。本工程采用重力式混凝土结构，堤防采用C25F200现浇混凝土结构，防洪堤总高3.5m 左右，其中基础埋深1.5m，地面以上高度2.0m，顶宽0.50m，底宽 2.25m。防洪堤每10m 设伸缩缝一道，并做防渗处理。</w:t>
            </w:r>
          </w:p>
          <w:p>
            <w:pPr>
              <w:adjustRightInd w:val="0"/>
              <w:snapToGrid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47615" cy="2306955"/>
                  <wp:effectExtent l="0" t="0" r="63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047615" cy="2306955"/>
                          </a:xfrm>
                          <a:prstGeom prst="rect">
                            <a:avLst/>
                          </a:prstGeom>
                          <a:noFill/>
                          <a:ln>
                            <a:noFill/>
                          </a:ln>
                        </pic:spPr>
                      </pic:pic>
                    </a:graphicData>
                  </a:graphic>
                </wp:inline>
              </w:drawing>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图2-2</w:t>
            </w:r>
            <w:r>
              <w:rPr>
                <w:rFonts w:hint="default" w:ascii="Times New Roman" w:hAnsi="Times New Roman" w:cs="Times New Roman"/>
                <w:b/>
                <w:bCs/>
                <w:color w:val="auto"/>
                <w:lang w:val="en-US" w:eastAsia="zh-CN"/>
              </w:rPr>
              <w:tab/>
            </w:r>
            <w:r>
              <w:rPr>
                <w:rFonts w:hint="default" w:ascii="Times New Roman" w:hAnsi="Times New Roman" w:cs="Times New Roman"/>
                <w:b/>
                <w:bCs/>
                <w:color w:val="auto"/>
                <w:lang w:val="en-US" w:eastAsia="zh-CN"/>
              </w:rPr>
              <w:t xml:space="preserve">  防洪堤结构图</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3</w:t>
            </w: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护栏</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color w:val="auto"/>
              </w:rPr>
              <w:t>因项目区位于桥头村及东六村居民区，需在拟建的排洪渠及防洪堤两岸设置钢筋混凝土结构护栏，护栏总长4800m（其中左岸2400m，右岸2400m），以美化区域环境。护栏每2.5m设</w:t>
            </w:r>
            <w:r>
              <w:rPr>
                <w:rFonts w:hint="default" w:ascii="Times New Roman" w:hAnsi="Times New Roman" w:cs="Times New Roman"/>
                <w:color w:val="auto"/>
                <w:lang w:val="en-US" w:eastAsia="zh-CN"/>
              </w:rPr>
              <w:t>1</w:t>
            </w:r>
            <w:r>
              <w:rPr>
                <w:rFonts w:hint="default" w:ascii="Times New Roman" w:hAnsi="Times New Roman" w:cs="Times New Roman"/>
                <w:color w:val="auto"/>
              </w:rPr>
              <w:t>根0.15×0.15m，高1.60m 的大立柱，护栏设横档三道，横档上间隔 0.15m</w:t>
            </w:r>
            <w:r>
              <w:rPr>
                <w:rFonts w:hint="default" w:ascii="Times New Roman" w:hAnsi="Times New Roman" w:cs="Times New Roman"/>
                <w:color w:val="auto"/>
                <w:lang w:eastAsia="zh-CN"/>
              </w:rPr>
              <w:t>，</w:t>
            </w:r>
            <w:r>
              <w:rPr>
                <w:rFonts w:hint="default" w:ascii="Times New Roman" w:hAnsi="Times New Roman" w:cs="Times New Roman"/>
                <w:color w:val="auto"/>
              </w:rPr>
              <w:t>下间隔0.45m，横档截面尺寸0.10×0.10m，相邻大立柱中间设8根0.08×0.08m，高0.45m 的小立柱</w:t>
            </w:r>
            <w:r>
              <w:rPr>
                <w:rFonts w:hint="default" w:ascii="Times New Roman" w:hAnsi="Times New Roman" w:cs="Times New Roman"/>
                <w:color w:val="auto"/>
                <w:lang w:val="en-US" w:eastAsia="zh-CN"/>
              </w:rPr>
              <w:t>，位于横档下间隔，立柱基础采用C25素混凝土。</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lang w:val="en-US" w:eastAsia="zh-CN"/>
              </w:rPr>
              <w:t>（4）出水口设计</w:t>
            </w:r>
          </w:p>
          <w:p>
            <w:pPr>
              <w:adjustRightInd w:val="0"/>
              <w:snapToGrid w:val="0"/>
              <w:spacing w:line="360" w:lineRule="auto"/>
              <w:ind w:firstLine="47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pacing w:val="-2"/>
              </w:rPr>
              <w:t>本工程沟道末端平顺直排黄河，为便于泄水，防止水流对黄河河床造成严重</w:t>
            </w:r>
            <w:r>
              <w:rPr>
                <w:rFonts w:hint="default" w:ascii="Times New Roman" w:hAnsi="Times New Roman" w:cs="Times New Roman"/>
                <w:color w:val="auto"/>
              </w:rPr>
              <w:t>冲刷，并给泄流创造良好条件，本工程修建出水口导流墙总长</w:t>
            </w:r>
            <w:r>
              <w:rPr>
                <w:rFonts w:hint="default" w:ascii="Times New Roman" w:hAnsi="Times New Roman" w:eastAsia="Times New Roman" w:cs="Times New Roman"/>
                <w:color w:val="auto"/>
              </w:rPr>
              <w:t>10m</w:t>
            </w:r>
            <w:r>
              <w:rPr>
                <w:rFonts w:hint="default" w:ascii="Times New Roman" w:hAnsi="Times New Roman" w:cs="Times New Roman"/>
                <w:color w:val="auto"/>
              </w:rPr>
              <w:t>，左右岸各</w:t>
            </w:r>
            <w:r>
              <w:rPr>
                <w:rFonts w:hint="default" w:ascii="Times New Roman" w:hAnsi="Times New Roman" w:eastAsia="Times New Roman" w:cs="Times New Roman"/>
                <w:color w:val="auto"/>
              </w:rPr>
              <w:t>5m</w:t>
            </w:r>
            <w:r>
              <w:rPr>
                <w:rFonts w:hint="default" w:ascii="Times New Roman" w:hAnsi="Times New Roman" w:cs="Times New Roman"/>
                <w:color w:val="auto"/>
                <w:spacing w:val="-1"/>
              </w:rPr>
              <w:t xml:space="preserve">，与两侧沟岸垂直相连。导流墙采用 </w:t>
            </w:r>
            <w:r>
              <w:rPr>
                <w:rFonts w:hint="default" w:ascii="Times New Roman" w:hAnsi="Times New Roman" w:eastAsia="Times New Roman" w:cs="Times New Roman"/>
                <w:color w:val="auto"/>
              </w:rPr>
              <w:t>C25F200</w:t>
            </w:r>
            <w:r>
              <w:rPr>
                <w:rFonts w:hint="default" w:ascii="Times New Roman" w:hAnsi="Times New Roman" w:cs="Times New Roman"/>
                <w:color w:val="auto"/>
              </w:rPr>
              <w:t>混凝土整体现浇，后接格宾网</w:t>
            </w:r>
            <w:r>
              <w:rPr>
                <w:rFonts w:hint="default" w:ascii="Times New Roman" w:hAnsi="Times New Roman" w:cs="Times New Roman"/>
                <w:color w:val="auto"/>
                <w:spacing w:val="-18"/>
              </w:rPr>
              <w:t xml:space="preserve">箱防冲段，防冲段采用 </w:t>
            </w:r>
            <w:r>
              <w:rPr>
                <w:rFonts w:hint="default" w:ascii="Times New Roman" w:hAnsi="Times New Roman" w:eastAsia="Times New Roman" w:cs="Times New Roman"/>
                <w:color w:val="auto"/>
              </w:rPr>
              <w:t xml:space="preserve">1.5*1.0 </w:t>
            </w:r>
            <w:r>
              <w:rPr>
                <w:rFonts w:hint="default" w:ascii="Times New Roman" w:hAnsi="Times New Roman" w:cs="Times New Roman"/>
                <w:color w:val="auto"/>
                <w:spacing w:val="-30"/>
              </w:rPr>
              <w:t xml:space="preserve">和 </w:t>
            </w:r>
            <w:r>
              <w:rPr>
                <w:rFonts w:hint="default" w:ascii="Times New Roman" w:hAnsi="Times New Roman" w:eastAsia="Times New Roman" w:cs="Times New Roman"/>
                <w:color w:val="auto"/>
              </w:rPr>
              <w:t xml:space="preserve">1.0*1.0 </w:t>
            </w:r>
            <w:r>
              <w:rPr>
                <w:rFonts w:hint="default" w:ascii="Times New Roman" w:hAnsi="Times New Roman" w:cs="Times New Roman"/>
                <w:color w:val="auto"/>
                <w:spacing w:val="-10"/>
              </w:rPr>
              <w:t>两种规格的格宾网箱组合</w:t>
            </w:r>
            <w:r>
              <w:rPr>
                <w:rFonts w:hint="default" w:ascii="Times New Roman" w:hAnsi="Times New Roman" w:cs="Times New Roman"/>
                <w:color w:val="auto"/>
                <w:spacing w:val="-10"/>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lang w:val="en-US" w:eastAsia="zh-CN"/>
              </w:rPr>
              <w:t>（5）涵洞设计</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工程修建跨公路涵洞</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座，布置于沟道中心桩号2+100 处，涵洞总长 28m，跨径采用4m，设计净高为3m。</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lang w:val="en-US" w:eastAsia="zh-CN"/>
              </w:rPr>
            </w:pPr>
            <w:r>
              <w:rPr>
                <w:rFonts w:hint="default" w:ascii="Times New Roman" w:hAnsi="Times New Roman" w:cs="Times New Roman"/>
                <w:b/>
                <w:color w:val="auto"/>
                <w:kern w:val="0"/>
                <w:lang w:val="en-US" w:eastAsia="zh-CN"/>
              </w:rPr>
              <w:t>（6）谷坊设计</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在桥头沟内新建</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座C25素混凝土谷坊。谷坊间距为30~50m。为了便于泄洪，需在坝顶设置溢洪口</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溢洪口均采用上口宽3.0m，下口采用2.5m，高0.5m 的梯型断面。</w:t>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表2-2    谷坊设计参数</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0"/>
              <w:gridCol w:w="683"/>
              <w:gridCol w:w="683"/>
              <w:gridCol w:w="691"/>
              <w:gridCol w:w="694"/>
              <w:gridCol w:w="705"/>
              <w:gridCol w:w="545"/>
              <w:gridCol w:w="545"/>
              <w:gridCol w:w="562"/>
              <w:gridCol w:w="780"/>
              <w:gridCol w:w="780"/>
              <w:gridCol w:w="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3" w:type="pct"/>
                  <w:vMerge w:val="restart"/>
                  <w:vAlign w:val="center"/>
                </w:tcPr>
                <w:p>
                  <w:pPr>
                    <w:widowControl/>
                    <w:jc w:val="center"/>
                    <w:textAlignment w:val="center"/>
                    <w:rPr>
                      <w:rFonts w:hint="default" w:ascii="Times New Roman" w:hAnsi="Times New Roman" w:cs="Times New Roman"/>
                      <w:b/>
                      <w:bCs/>
                      <w:color w:val="auto"/>
                      <w:kern w:val="0"/>
                      <w:sz w:val="21"/>
                      <w:szCs w:val="21"/>
                    </w:rPr>
                  </w:pPr>
                </w:p>
                <w:p>
                  <w:pPr>
                    <w:widowControl/>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沟道</w:t>
                  </w:r>
                </w:p>
              </w:tc>
              <w:tc>
                <w:tcPr>
                  <w:tcW w:w="435" w:type="pct"/>
                  <w:vMerge w:val="restart"/>
                  <w:vAlign w:val="center"/>
                </w:tcPr>
                <w:p>
                  <w:pPr>
                    <w:widowControl/>
                    <w:jc w:val="center"/>
                    <w:textAlignment w:val="center"/>
                    <w:rPr>
                      <w:rFonts w:hint="default" w:ascii="Times New Roman" w:hAnsi="Times New Roman" w:cs="Times New Roman"/>
                      <w:b/>
                      <w:bCs/>
                      <w:color w:val="auto"/>
                      <w:kern w:val="0"/>
                      <w:sz w:val="21"/>
                      <w:szCs w:val="21"/>
                    </w:rPr>
                  </w:pPr>
                </w:p>
                <w:p>
                  <w:pPr>
                    <w:widowControl/>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谷坊编号</w:t>
                  </w:r>
                </w:p>
              </w:tc>
              <w:tc>
                <w:tcPr>
                  <w:tcW w:w="1766" w:type="pct"/>
                  <w:gridSpan w:val="4"/>
                  <w:vAlign w:val="center"/>
                </w:tcPr>
                <w:p>
                  <w:pPr>
                    <w:widowControl/>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坝体</w:t>
                  </w:r>
                </w:p>
              </w:tc>
              <w:tc>
                <w:tcPr>
                  <w:tcW w:w="1052" w:type="pct"/>
                  <w:gridSpan w:val="3"/>
                  <w:vAlign w:val="center"/>
                </w:tcPr>
                <w:p>
                  <w:pPr>
                    <w:widowControl/>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消力池</w:t>
                  </w:r>
                </w:p>
              </w:tc>
              <w:tc>
                <w:tcPr>
                  <w:tcW w:w="1382" w:type="pct"/>
                  <w:gridSpan w:val="3"/>
                  <w:vAlign w:val="center"/>
                </w:tcPr>
                <w:p>
                  <w:pPr>
                    <w:widowControl/>
                    <w:jc w:val="center"/>
                    <w:textAlignment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溢流口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63" w:type="pct"/>
                  <w:vMerge w:val="continue"/>
                  <w:tcBorders>
                    <w:top w:val="nil"/>
                  </w:tcBorders>
                  <w:vAlign w:val="center"/>
                </w:tcPr>
                <w:p>
                  <w:pPr>
                    <w:widowControl/>
                    <w:jc w:val="center"/>
                    <w:textAlignment w:val="center"/>
                    <w:rPr>
                      <w:rFonts w:hint="default" w:ascii="Times New Roman" w:hAnsi="Times New Roman" w:cs="Times New Roman"/>
                      <w:color w:val="auto"/>
                      <w:kern w:val="0"/>
                      <w:sz w:val="21"/>
                      <w:szCs w:val="21"/>
                    </w:rPr>
                  </w:pPr>
                </w:p>
              </w:tc>
              <w:tc>
                <w:tcPr>
                  <w:tcW w:w="435" w:type="pct"/>
                  <w:vMerge w:val="continue"/>
                  <w:tcBorders>
                    <w:top w:val="nil"/>
                  </w:tcBorders>
                  <w:vAlign w:val="center"/>
                </w:tcPr>
                <w:p>
                  <w:pPr>
                    <w:widowControl/>
                    <w:jc w:val="center"/>
                    <w:textAlignment w:val="center"/>
                    <w:rPr>
                      <w:rFonts w:hint="default" w:ascii="Times New Roman" w:hAnsi="Times New Roman" w:cs="Times New Roman"/>
                      <w:color w:val="auto"/>
                      <w:kern w:val="0"/>
                      <w:sz w:val="21"/>
                      <w:szCs w:val="21"/>
                    </w:rPr>
                  </w:pP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有效</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坝高m</w:t>
                  </w:r>
                </w:p>
              </w:tc>
              <w:tc>
                <w:tcPr>
                  <w:tcW w:w="440"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基础</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埋深m</w:t>
                  </w:r>
                </w:p>
              </w:tc>
              <w:tc>
                <w:tcPr>
                  <w:tcW w:w="442"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坝顶</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宽度m</w:t>
                  </w:r>
                </w:p>
              </w:tc>
              <w:tc>
                <w:tcPr>
                  <w:tcW w:w="44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坝顶长</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度 m</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长m</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宽m</w:t>
                  </w:r>
                </w:p>
              </w:tc>
              <w:tc>
                <w:tcPr>
                  <w:tcW w:w="35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深m</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上口宽</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下口宽</w:t>
                  </w: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p>
              </w:tc>
              <w:tc>
                <w:tcPr>
                  <w:tcW w:w="386"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深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3" w:type="pct"/>
                  <w:vMerge w:val="restart"/>
                  <w:vAlign w:val="center"/>
                </w:tcPr>
                <w:p>
                  <w:pPr>
                    <w:widowControl/>
                    <w:jc w:val="center"/>
                    <w:textAlignment w:val="center"/>
                    <w:rPr>
                      <w:rFonts w:hint="default" w:ascii="Times New Roman" w:hAnsi="Times New Roman" w:cs="Times New Roman"/>
                      <w:color w:val="auto"/>
                      <w:kern w:val="0"/>
                      <w:sz w:val="21"/>
                      <w:szCs w:val="21"/>
                    </w:rPr>
                  </w:pPr>
                </w:p>
                <w:p>
                  <w:pPr>
                    <w:widowControl/>
                    <w:jc w:val="center"/>
                    <w:textAlignment w:val="center"/>
                    <w:rPr>
                      <w:rFonts w:hint="default" w:ascii="Times New Roman" w:hAnsi="Times New Roman" w:cs="Times New Roman"/>
                      <w:color w:val="auto"/>
                      <w:kern w:val="0"/>
                      <w:sz w:val="21"/>
                      <w:szCs w:val="21"/>
                    </w:rPr>
                  </w:pPr>
                </w:p>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桥头沟</w:t>
                  </w: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1#谷坊</w:t>
                  </w: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40"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442"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0.8</w:t>
                  </w:r>
                </w:p>
              </w:tc>
              <w:tc>
                <w:tcPr>
                  <w:tcW w:w="44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3.5</w:t>
                  </w:r>
                </w:p>
              </w:tc>
              <w:tc>
                <w:tcPr>
                  <w:tcW w:w="35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c>
                <w:tcPr>
                  <w:tcW w:w="386"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63" w:type="pct"/>
                  <w:vMerge w:val="continue"/>
                  <w:tcBorders>
                    <w:top w:val="nil"/>
                  </w:tcBorders>
                  <w:vAlign w:val="center"/>
                </w:tcPr>
                <w:p>
                  <w:pPr>
                    <w:widowControl/>
                    <w:jc w:val="center"/>
                    <w:textAlignment w:val="center"/>
                    <w:rPr>
                      <w:rFonts w:hint="default" w:ascii="Times New Roman" w:hAnsi="Times New Roman" w:cs="Times New Roman"/>
                      <w:color w:val="auto"/>
                      <w:kern w:val="0"/>
                      <w:sz w:val="21"/>
                      <w:szCs w:val="21"/>
                    </w:rPr>
                  </w:pP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2#谷坊</w:t>
                  </w: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40"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442"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0.8</w:t>
                  </w:r>
                </w:p>
              </w:tc>
              <w:tc>
                <w:tcPr>
                  <w:tcW w:w="44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3.5</w:t>
                  </w:r>
                </w:p>
              </w:tc>
              <w:tc>
                <w:tcPr>
                  <w:tcW w:w="35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c>
                <w:tcPr>
                  <w:tcW w:w="386"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3" w:type="pct"/>
                  <w:vMerge w:val="continue"/>
                  <w:tcBorders>
                    <w:top w:val="nil"/>
                  </w:tcBorders>
                  <w:vAlign w:val="center"/>
                </w:tcPr>
                <w:p>
                  <w:pPr>
                    <w:widowControl/>
                    <w:jc w:val="center"/>
                    <w:textAlignment w:val="center"/>
                    <w:rPr>
                      <w:rFonts w:hint="default" w:ascii="Times New Roman" w:hAnsi="Times New Roman" w:cs="Times New Roman"/>
                      <w:color w:val="auto"/>
                      <w:kern w:val="0"/>
                      <w:sz w:val="21"/>
                      <w:szCs w:val="21"/>
                    </w:rPr>
                  </w:pP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3#谷坊</w:t>
                  </w: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40"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442"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0.8</w:t>
                  </w:r>
                </w:p>
              </w:tc>
              <w:tc>
                <w:tcPr>
                  <w:tcW w:w="44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3.5</w:t>
                  </w:r>
                </w:p>
              </w:tc>
              <w:tc>
                <w:tcPr>
                  <w:tcW w:w="35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c>
                <w:tcPr>
                  <w:tcW w:w="386"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63" w:type="pct"/>
                  <w:vMerge w:val="continue"/>
                  <w:tcBorders>
                    <w:top w:val="nil"/>
                  </w:tcBorders>
                  <w:vAlign w:val="center"/>
                </w:tcPr>
                <w:p>
                  <w:pPr>
                    <w:widowControl/>
                    <w:jc w:val="center"/>
                    <w:textAlignment w:val="center"/>
                    <w:rPr>
                      <w:rFonts w:hint="default" w:ascii="Times New Roman" w:hAnsi="Times New Roman" w:cs="Times New Roman"/>
                      <w:color w:val="auto"/>
                      <w:kern w:val="0"/>
                      <w:sz w:val="21"/>
                      <w:szCs w:val="21"/>
                    </w:rPr>
                  </w:pP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4#谷坊</w:t>
                  </w:r>
                </w:p>
              </w:tc>
              <w:tc>
                <w:tcPr>
                  <w:tcW w:w="435"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40"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442"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0.8</w:t>
                  </w:r>
                </w:p>
              </w:tc>
              <w:tc>
                <w:tcPr>
                  <w:tcW w:w="44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34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3.5</w:t>
                  </w:r>
                </w:p>
              </w:tc>
              <w:tc>
                <w:tcPr>
                  <w:tcW w:w="358"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497"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c>
                <w:tcPr>
                  <w:tcW w:w="386"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3" w:type="pct"/>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合计</w:t>
                  </w:r>
                </w:p>
              </w:tc>
              <w:tc>
                <w:tcPr>
                  <w:tcW w:w="4636" w:type="pct"/>
                  <w:gridSpan w:val="11"/>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rPr>
                    <w:t>座</w:t>
                  </w:r>
                </w:p>
              </w:tc>
            </w:tr>
          </w:tbl>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b/>
                <w:color w:val="auto"/>
              </w:rPr>
              <w:t>5、</w:t>
            </w:r>
            <w:r>
              <w:rPr>
                <w:rFonts w:hint="default" w:ascii="Times New Roman" w:hAnsi="Times New Roman" w:cs="Times New Roman"/>
                <w:b/>
                <w:color w:val="auto"/>
              </w:rPr>
              <w:t>临时工程</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工程不设专门的临时道路，</w:t>
            </w:r>
            <w:r>
              <w:rPr>
                <w:rFonts w:hint="default" w:ascii="Times New Roman" w:hAnsi="Times New Roman" w:cs="Times New Roman"/>
                <w:color w:val="auto"/>
                <w:kern w:val="0"/>
                <w:lang w:val="en-US" w:eastAsia="zh-CN"/>
              </w:rPr>
              <w:t>利用村道及田间小道。</w:t>
            </w:r>
            <w:r>
              <w:rPr>
                <w:rFonts w:hint="default" w:ascii="Times New Roman" w:hAnsi="Times New Roman" w:cs="Times New Roman"/>
                <w:color w:val="auto"/>
                <w:kern w:val="0"/>
              </w:rPr>
              <w:t>本工程临工程主要有</w:t>
            </w:r>
            <w:r>
              <w:rPr>
                <w:rFonts w:hint="eastAsia" w:cs="Times New Roman"/>
                <w:color w:val="auto"/>
                <w:kern w:val="0"/>
                <w:lang w:val="en-US" w:eastAsia="zh-CN"/>
              </w:rPr>
              <w:t>施工营地、临时施工工区。</w:t>
            </w:r>
          </w:p>
          <w:p>
            <w:pPr>
              <w:adjustRightInd w:val="0"/>
              <w:snapToGrid w:val="0"/>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color w:val="auto"/>
                <w:kern w:val="0"/>
              </w:rPr>
              <w:t>（</w:t>
            </w:r>
            <w:r>
              <w:rPr>
                <w:rFonts w:hint="eastAsia" w:cs="Times New Roman"/>
                <w:b/>
                <w:color w:val="auto"/>
                <w:kern w:val="0"/>
                <w:lang w:val="en-US" w:eastAsia="zh-CN"/>
              </w:rPr>
              <w:t>1</w:t>
            </w:r>
            <w:r>
              <w:rPr>
                <w:rFonts w:hint="default" w:ascii="Times New Roman" w:hAnsi="Times New Roman" w:cs="Times New Roman"/>
                <w:b/>
                <w:color w:val="auto"/>
                <w:kern w:val="0"/>
              </w:rPr>
              <w:t>）临时施工工区</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zh-CN"/>
              </w:rPr>
              <w:t>布置</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处工区，占地</w:t>
            </w:r>
            <w:r>
              <w:rPr>
                <w:rFonts w:hint="default" w:ascii="Times New Roman" w:hAnsi="Times New Roman" w:cs="Times New Roman"/>
                <w:color w:val="auto"/>
                <w:lang w:val="en-US" w:eastAsia="zh-CN"/>
              </w:rPr>
              <w:t>0.06hm²</w:t>
            </w:r>
            <w:r>
              <w:rPr>
                <w:rFonts w:hint="default" w:ascii="Times New Roman" w:hAnsi="Times New Roman" w:cs="Times New Roman"/>
                <w:color w:val="auto"/>
                <w:lang w:val="zh-CN"/>
              </w:rPr>
              <w:t>，占地类型为</w:t>
            </w:r>
            <w:r>
              <w:rPr>
                <w:rFonts w:hint="default" w:ascii="Times New Roman" w:hAnsi="Times New Roman" w:cs="Times New Roman"/>
                <w:color w:val="auto"/>
                <w:lang w:val="en-US" w:eastAsia="zh-CN"/>
              </w:rPr>
              <w:t>其他草地和空地。</w:t>
            </w:r>
            <w:r>
              <w:rPr>
                <w:rFonts w:hint="default" w:ascii="Times New Roman" w:hAnsi="Times New Roman" w:cs="Times New Roman"/>
                <w:color w:val="auto"/>
                <w:lang w:val="zh-CN"/>
              </w:rPr>
              <w:t>主要用于施工机械、</w:t>
            </w:r>
            <w:r>
              <w:rPr>
                <w:rFonts w:hint="eastAsia" w:cs="Times New Roman"/>
                <w:color w:val="auto"/>
                <w:lang w:val="en-US" w:eastAsia="zh-CN"/>
              </w:rPr>
              <w:t>建筑材料</w:t>
            </w:r>
            <w:r>
              <w:rPr>
                <w:rFonts w:hint="default" w:ascii="Times New Roman" w:hAnsi="Times New Roman" w:cs="Times New Roman"/>
                <w:color w:val="auto"/>
                <w:lang w:val="zh-CN"/>
              </w:rPr>
              <w:t>等的堆放。</w:t>
            </w:r>
          </w:p>
          <w:p>
            <w:pPr>
              <w:adjustRightInd w:val="0"/>
              <w:snapToGrid w:val="0"/>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color w:val="auto"/>
                <w:kern w:val="0"/>
              </w:rPr>
              <w:t>（</w:t>
            </w:r>
            <w:r>
              <w:rPr>
                <w:rFonts w:hint="eastAsia" w:cs="Times New Roman"/>
                <w:b/>
                <w:color w:val="auto"/>
                <w:kern w:val="0"/>
                <w:lang w:val="en-US" w:eastAsia="zh-CN"/>
              </w:rPr>
              <w:t>2</w:t>
            </w:r>
            <w:r>
              <w:rPr>
                <w:rFonts w:hint="default" w:ascii="Times New Roman" w:hAnsi="Times New Roman" w:cs="Times New Roman"/>
                <w:b/>
                <w:color w:val="auto"/>
                <w:kern w:val="0"/>
              </w:rPr>
              <w:t>）施工营地</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设置1处施工营地，占地面积0</w:t>
            </w:r>
            <w:r>
              <w:rPr>
                <w:rFonts w:hint="default" w:ascii="Times New Roman" w:hAnsi="Times New Roman" w:cs="Times New Roman"/>
                <w:color w:val="auto"/>
                <w:kern w:val="0"/>
                <w:lang w:val="en-US" w:eastAsia="zh-CN"/>
              </w:rPr>
              <w:t>.02hm²，</w:t>
            </w:r>
            <w:r>
              <w:rPr>
                <w:rFonts w:hint="default" w:ascii="Times New Roman" w:hAnsi="Times New Roman" w:cs="Times New Roman"/>
                <w:color w:val="auto"/>
                <w:kern w:val="0"/>
              </w:rPr>
              <w:t>占地类型为</w:t>
            </w:r>
            <w:r>
              <w:rPr>
                <w:rFonts w:hint="default" w:ascii="Times New Roman" w:hAnsi="Times New Roman" w:cs="Times New Roman"/>
                <w:color w:val="auto"/>
                <w:kern w:val="0"/>
                <w:lang w:val="en-US" w:eastAsia="zh-CN"/>
              </w:rPr>
              <w:t>其他草地</w:t>
            </w:r>
            <w:r>
              <w:rPr>
                <w:rFonts w:hint="default" w:ascii="Times New Roman" w:hAnsi="Times New Roman" w:cs="Times New Roman"/>
                <w:color w:val="auto"/>
                <w:kern w:val="0"/>
              </w:rPr>
              <w:t>。主要用于施工人员居住、吃饭等。</w:t>
            </w:r>
          </w:p>
          <w:p>
            <w:pPr>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b/>
                <w:color w:val="auto"/>
                <w:kern w:val="0"/>
              </w:rPr>
              <w:t>6、工程</w:t>
            </w:r>
            <w:r>
              <w:rPr>
                <w:rFonts w:hint="default" w:ascii="Times New Roman" w:hAnsi="Times New Roman" w:cs="Times New Roman"/>
                <w:b/>
                <w:color w:val="auto"/>
              </w:rPr>
              <w:t>占地</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zh-CN"/>
              </w:rPr>
              <w:t>永久占地</w:t>
            </w:r>
          </w:p>
          <w:p>
            <w:pPr>
              <w:spacing w:line="360" w:lineRule="auto"/>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工程永久占地面积为</w:t>
            </w:r>
            <w:r>
              <w:rPr>
                <w:rFonts w:hint="default" w:ascii="Times New Roman" w:hAnsi="Times New Roman" w:eastAsia="Times New Roman" w:cs="Times New Roman"/>
                <w:color w:val="auto"/>
                <w:spacing w:val="-2"/>
                <w:highlight w:val="none"/>
              </w:rPr>
              <w:t>2.13hm</w:t>
            </w:r>
            <w:r>
              <w:rPr>
                <w:rFonts w:hint="default" w:ascii="Times New Roman" w:hAnsi="Times New Roman" w:cs="Times New Roman"/>
                <w:color w:val="auto"/>
                <w:spacing w:val="-2"/>
                <w:highlight w:val="none"/>
              </w:rPr>
              <w:t>²，全部为内</w:t>
            </w:r>
            <w:r>
              <w:rPr>
                <w:rFonts w:hint="default" w:ascii="Times New Roman" w:hAnsi="Times New Roman" w:cs="Times New Roman"/>
                <w:color w:val="auto"/>
                <w:spacing w:val="-5"/>
                <w:highlight w:val="none"/>
              </w:rPr>
              <w:t>陆滩涂</w:t>
            </w:r>
            <w:r>
              <w:rPr>
                <w:rFonts w:hint="default" w:ascii="Times New Roman" w:hAnsi="Times New Roman" w:cs="Times New Roman"/>
                <w:color w:val="auto"/>
                <w:lang w:val="zh-CN"/>
              </w:rPr>
              <w:t>。</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表2-3  工程永久占地一览表</w:t>
            </w:r>
          </w:p>
          <w:tbl>
            <w:tblPr>
              <w:tblStyle w:val="23"/>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2383"/>
              <w:gridCol w:w="1392"/>
              <w:gridCol w:w="1992"/>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72" w:hRule="atLeast"/>
                <w:jc w:val="center"/>
              </w:trPr>
              <w:tc>
                <w:tcPr>
                  <w:tcW w:w="5000" w:type="pct"/>
                  <w:gridSpan w:val="4"/>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工程占地统计表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90" w:hRule="atLeast"/>
                <w:jc w:val="center"/>
              </w:trPr>
              <w:tc>
                <w:tcPr>
                  <w:tcW w:w="1533" w:type="pct"/>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名称</w:t>
                  </w:r>
                </w:p>
              </w:tc>
              <w:tc>
                <w:tcPr>
                  <w:tcW w:w="895" w:type="pct"/>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面积</w:t>
                  </w:r>
                  <w:r>
                    <w:rPr>
                      <w:rFonts w:hint="default" w:ascii="Times New Roman" w:hAnsi="Times New Roman" w:eastAsia="宋体" w:cs="Times New Roman"/>
                      <w:b/>
                      <w:bCs/>
                      <w:color w:val="auto"/>
                      <w:spacing w:val="-4"/>
                      <w:sz w:val="21"/>
                      <w:highlight w:val="none"/>
                    </w:rPr>
                    <w:t>（</w:t>
                  </w:r>
                  <w:r>
                    <w:rPr>
                      <w:rFonts w:hint="default" w:ascii="Times New Roman" w:hAnsi="Times New Roman" w:cs="Times New Roman"/>
                      <w:b/>
                      <w:bCs/>
                      <w:color w:val="auto"/>
                      <w:spacing w:val="-4"/>
                      <w:sz w:val="21"/>
                      <w:highlight w:val="none"/>
                    </w:rPr>
                    <w:t>hm</w:t>
                  </w:r>
                  <w:r>
                    <w:rPr>
                      <w:rFonts w:hint="default" w:ascii="Times New Roman" w:hAnsi="Times New Roman" w:cs="Times New Roman"/>
                      <w:b/>
                      <w:bCs/>
                      <w:color w:val="auto"/>
                      <w:spacing w:val="-4"/>
                      <w:sz w:val="21"/>
                      <w:highlight w:val="none"/>
                      <w:vertAlign w:val="superscript"/>
                    </w:rPr>
                    <w:t>2</w:t>
                  </w:r>
                  <w:r>
                    <w:rPr>
                      <w:rFonts w:hint="default" w:ascii="Times New Roman" w:hAnsi="Times New Roman" w:eastAsia="宋体" w:cs="Times New Roman"/>
                      <w:b/>
                      <w:bCs/>
                      <w:color w:val="auto"/>
                      <w:spacing w:val="-4"/>
                      <w:sz w:val="21"/>
                      <w:highlight w:val="none"/>
                      <w:vertAlign w:val="baseline"/>
                    </w:rPr>
                    <w:t>）</w:t>
                  </w:r>
                </w:p>
              </w:tc>
              <w:tc>
                <w:tcPr>
                  <w:tcW w:w="1281" w:type="pct"/>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性质</w:t>
                  </w:r>
                </w:p>
              </w:tc>
              <w:tc>
                <w:tcPr>
                  <w:tcW w:w="1290" w:type="pct"/>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占地类型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7" w:hRule="atLeast"/>
                <w:jc w:val="center"/>
              </w:trPr>
              <w:tc>
                <w:tcPr>
                  <w:tcW w:w="1533" w:type="pct"/>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谷坊工程区</w:t>
                  </w:r>
                </w:p>
              </w:tc>
              <w:tc>
                <w:tcPr>
                  <w:tcW w:w="895" w:type="pct"/>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0.08</w:t>
                  </w:r>
                </w:p>
              </w:tc>
              <w:tc>
                <w:tcPr>
                  <w:tcW w:w="1281" w:type="pct"/>
                  <w:vMerge w:val="restart"/>
                  <w:noWrap/>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永久占地</w:t>
                  </w:r>
                </w:p>
              </w:tc>
              <w:tc>
                <w:tcPr>
                  <w:tcW w:w="1290" w:type="pct"/>
                  <w:vMerge w:val="restart"/>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内陆滩涂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72" w:hRule="atLeast"/>
                <w:jc w:val="center"/>
              </w:trPr>
              <w:tc>
                <w:tcPr>
                  <w:tcW w:w="1533" w:type="pct"/>
                  <w:noWrap/>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排洪渠工程区</w:t>
                  </w:r>
                </w:p>
              </w:tc>
              <w:tc>
                <w:tcPr>
                  <w:tcW w:w="895" w:type="pct"/>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0.41</w:t>
                  </w:r>
                </w:p>
              </w:tc>
              <w:tc>
                <w:tcPr>
                  <w:tcW w:w="1281" w:type="pct"/>
                  <w:vMerge w:val="continue"/>
                  <w:noWrap/>
                  <w:vAlign w:val="center"/>
                </w:tcPr>
                <w:p>
                  <w:pPr>
                    <w:jc w:val="center"/>
                    <w:rPr>
                      <w:rFonts w:hint="default" w:ascii="Times New Roman" w:hAnsi="Times New Roman" w:cs="Times New Roman"/>
                      <w:color w:val="auto"/>
                      <w:sz w:val="21"/>
                      <w:szCs w:val="21"/>
                    </w:rPr>
                  </w:pPr>
                </w:p>
              </w:tc>
              <w:tc>
                <w:tcPr>
                  <w:tcW w:w="1290" w:type="pct"/>
                  <w:vMerge w:val="continue"/>
                  <w:noWrap/>
                  <w:vAlign w:val="center"/>
                </w:tcPr>
                <w:p>
                  <w:pPr>
                    <w:widowControl/>
                    <w:jc w:val="center"/>
                    <w:textAlignment w:val="center"/>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72" w:hRule="atLeast"/>
                <w:jc w:val="center"/>
              </w:trPr>
              <w:tc>
                <w:tcPr>
                  <w:tcW w:w="1533" w:type="pct"/>
                  <w:noWrap/>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防洪堤工程区</w:t>
                  </w:r>
                </w:p>
              </w:tc>
              <w:tc>
                <w:tcPr>
                  <w:tcW w:w="895" w:type="pct"/>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1.64</w:t>
                  </w:r>
                </w:p>
              </w:tc>
              <w:tc>
                <w:tcPr>
                  <w:tcW w:w="1281" w:type="pct"/>
                  <w:vMerge w:val="continue"/>
                  <w:noWrap/>
                  <w:vAlign w:val="center"/>
                </w:tcPr>
                <w:p>
                  <w:pPr>
                    <w:jc w:val="center"/>
                    <w:rPr>
                      <w:rFonts w:hint="default" w:ascii="Times New Roman" w:hAnsi="Times New Roman" w:cs="Times New Roman"/>
                      <w:color w:val="auto"/>
                      <w:sz w:val="21"/>
                      <w:szCs w:val="21"/>
                    </w:rPr>
                  </w:pPr>
                </w:p>
              </w:tc>
              <w:tc>
                <w:tcPr>
                  <w:tcW w:w="1290" w:type="pct"/>
                  <w:vMerge w:val="continue"/>
                  <w:noWrap/>
                  <w:vAlign w:val="center"/>
                </w:tcPr>
                <w:p>
                  <w:pPr>
                    <w:widowControl/>
                    <w:jc w:val="center"/>
                    <w:textAlignment w:val="center"/>
                    <w:rPr>
                      <w:rFonts w:hint="default" w:ascii="Times New Roman" w:hAnsi="Times New Roman" w:cs="Times New Roman"/>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72" w:hRule="atLeast"/>
                <w:jc w:val="center"/>
              </w:trPr>
              <w:tc>
                <w:tcPr>
                  <w:tcW w:w="1533" w:type="pct"/>
                  <w:noWrap/>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合</w:t>
                  </w:r>
                  <w:r>
                    <w:rPr>
                      <w:rFonts w:hint="default" w:ascii="Times New Roman" w:hAnsi="Times New Roman" w:cs="Times New Roman"/>
                      <w:color w:val="auto"/>
                      <w:sz w:val="21"/>
                      <w:szCs w:val="21"/>
                    </w:rPr>
                    <w:t>计</w:t>
                  </w:r>
                </w:p>
              </w:tc>
              <w:tc>
                <w:tcPr>
                  <w:tcW w:w="3466" w:type="pct"/>
                  <w:gridSpan w:val="3"/>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2.13</w:t>
                  </w:r>
                </w:p>
              </w:tc>
            </w:tr>
          </w:tbl>
          <w:p>
            <w:pPr>
              <w:spacing w:beforeLines="50" w:line="360" w:lineRule="auto"/>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（2）临时占地</w:t>
            </w:r>
          </w:p>
          <w:p>
            <w:pPr>
              <w:spacing w:line="360" w:lineRule="auto"/>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临时占地为工程建设施工过程所需要施工营地、临时施工区、</w:t>
            </w:r>
            <w:r>
              <w:rPr>
                <w:rFonts w:hint="default" w:ascii="Times New Roman" w:hAnsi="Times New Roman" w:cs="Times New Roman"/>
                <w:color w:val="auto"/>
                <w:lang w:val="en-US" w:eastAsia="zh-CN"/>
              </w:rPr>
              <w:t>沟道两侧土方堆放</w:t>
            </w:r>
            <w:r>
              <w:rPr>
                <w:rFonts w:hint="default" w:ascii="Times New Roman" w:hAnsi="Times New Roman" w:cs="Times New Roman"/>
                <w:color w:val="auto"/>
                <w:lang w:val="zh-CN"/>
              </w:rPr>
              <w:t>等的占地，工程</w:t>
            </w:r>
            <w:r>
              <w:rPr>
                <w:rFonts w:hint="default" w:ascii="Times New Roman" w:hAnsi="Times New Roman" w:cs="Times New Roman"/>
                <w:color w:val="auto"/>
                <w:spacing w:val="-5"/>
                <w:highlight w:val="none"/>
              </w:rPr>
              <w:t>临时占地面积</w:t>
            </w:r>
            <w:r>
              <w:rPr>
                <w:rFonts w:hint="default" w:ascii="Times New Roman" w:hAnsi="Times New Roman" w:cs="Times New Roman"/>
                <w:color w:val="auto"/>
                <w:spacing w:val="-5"/>
                <w:highlight w:val="none"/>
                <w:lang w:val="en-US" w:eastAsia="zh-CN"/>
              </w:rPr>
              <w:t>1.28</w:t>
            </w:r>
            <w:r>
              <w:rPr>
                <w:rFonts w:hint="default" w:ascii="Times New Roman" w:hAnsi="Times New Roman" w:eastAsia="Times New Roman" w:cs="Times New Roman"/>
                <w:color w:val="auto"/>
                <w:spacing w:val="-2"/>
                <w:highlight w:val="none"/>
              </w:rPr>
              <w:t>hm</w:t>
            </w:r>
            <w:r>
              <w:rPr>
                <w:rFonts w:hint="default" w:ascii="Times New Roman" w:hAnsi="Times New Roman" w:cs="Times New Roman"/>
                <w:color w:val="auto"/>
                <w:spacing w:val="-2"/>
                <w:highlight w:val="none"/>
              </w:rPr>
              <w:t>²</w:t>
            </w:r>
            <w:r>
              <w:rPr>
                <w:rFonts w:hint="default" w:ascii="Times New Roman" w:hAnsi="Times New Roman" w:cs="Times New Roman"/>
                <w:color w:val="auto"/>
                <w:spacing w:val="-5"/>
                <w:highlight w:val="none"/>
              </w:rPr>
              <w:t xml:space="preserve">，占用其他草地面积 </w:t>
            </w:r>
            <w:r>
              <w:rPr>
                <w:rFonts w:hint="default" w:ascii="Times New Roman" w:hAnsi="Times New Roman" w:eastAsia="Times New Roman" w:cs="Times New Roman"/>
                <w:color w:val="auto"/>
                <w:spacing w:val="-2"/>
                <w:highlight w:val="none"/>
              </w:rPr>
              <w:t>0.</w:t>
            </w:r>
            <w:r>
              <w:rPr>
                <w:rFonts w:hint="default" w:ascii="Times New Roman" w:hAnsi="Times New Roman" w:cs="Times New Roman"/>
                <w:color w:val="auto"/>
                <w:spacing w:val="-2"/>
                <w:highlight w:val="none"/>
                <w:lang w:val="en-US" w:eastAsia="zh-CN"/>
              </w:rPr>
              <w:t>09</w:t>
            </w:r>
            <w:r>
              <w:rPr>
                <w:rFonts w:hint="default" w:ascii="Times New Roman" w:hAnsi="Times New Roman" w:eastAsia="Times New Roman" w:cs="Times New Roman"/>
                <w:color w:val="auto"/>
                <w:spacing w:val="-2"/>
                <w:highlight w:val="none"/>
              </w:rPr>
              <w:t>hm</w:t>
            </w:r>
            <w:r>
              <w:rPr>
                <w:rFonts w:hint="default" w:ascii="Times New Roman" w:hAnsi="Times New Roman" w:cs="Times New Roman"/>
                <w:color w:val="auto"/>
                <w:spacing w:val="-2"/>
                <w:highlight w:val="none"/>
              </w:rPr>
              <w:t>²，</w:t>
            </w:r>
            <w:r>
              <w:rPr>
                <w:rFonts w:hint="default" w:ascii="Times New Roman" w:hAnsi="Times New Roman" w:cs="Times New Roman"/>
                <w:color w:val="auto"/>
                <w:spacing w:val="-2"/>
                <w:highlight w:val="none"/>
                <w:lang w:val="en-US" w:eastAsia="zh-CN"/>
              </w:rPr>
              <w:t>空地0.03</w:t>
            </w:r>
            <w:r>
              <w:rPr>
                <w:rFonts w:hint="default" w:ascii="Times New Roman" w:hAnsi="Times New Roman" w:cs="Times New Roman"/>
                <w:color w:val="auto"/>
                <w:sz w:val="21"/>
                <w:szCs w:val="21"/>
                <w:lang w:val="en-US" w:eastAsia="zh-CN"/>
              </w:rPr>
              <w:t>hm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pacing w:val="-2"/>
                <w:highlight w:val="none"/>
              </w:rPr>
              <w:t>占用内陆滩涂面</w:t>
            </w:r>
            <w:r>
              <w:rPr>
                <w:rFonts w:hint="default" w:ascii="Times New Roman" w:hAnsi="Times New Roman" w:cs="Times New Roman"/>
                <w:color w:val="auto"/>
                <w:highlight w:val="none"/>
              </w:rPr>
              <w:t xml:space="preserve">积 </w:t>
            </w:r>
            <w:r>
              <w:rPr>
                <w:rFonts w:hint="default" w:ascii="Times New Roman" w:hAnsi="Times New Roman" w:eastAsia="Times New Roman" w:cs="Times New Roman"/>
                <w:color w:val="auto"/>
                <w:highlight w:val="none"/>
              </w:rPr>
              <w:t>1.16hm</w:t>
            </w:r>
            <w:r>
              <w:rPr>
                <w:rFonts w:hint="default" w:ascii="Times New Roman" w:hAnsi="Times New Roman" w:cs="Times New Roman"/>
                <w:color w:val="auto"/>
                <w:highlight w:val="none"/>
              </w:rPr>
              <w:t>²。</w:t>
            </w:r>
            <w:r>
              <w:rPr>
                <w:rFonts w:hint="default" w:ascii="Times New Roman" w:hAnsi="Times New Roman" w:cs="Times New Roman"/>
                <w:color w:val="auto"/>
                <w:lang w:val="zh-CN"/>
              </w:rPr>
              <w:t>其中：</w:t>
            </w:r>
          </w:p>
          <w:p>
            <w:pPr>
              <w:spacing w:line="360" w:lineRule="auto"/>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临时施工工区</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处，占地</w:t>
            </w:r>
            <w:r>
              <w:rPr>
                <w:rFonts w:hint="default" w:ascii="Times New Roman" w:hAnsi="Times New Roman" w:cs="Times New Roman"/>
                <w:color w:val="auto"/>
                <w:lang w:val="en-US" w:eastAsia="zh-CN"/>
              </w:rPr>
              <w:t>0.06hm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zh-CN"/>
              </w:rPr>
              <w:t>，占地类型为</w:t>
            </w:r>
            <w:r>
              <w:rPr>
                <w:rFonts w:hint="default" w:ascii="Times New Roman" w:hAnsi="Times New Roman" w:cs="Times New Roman"/>
                <w:color w:val="auto"/>
                <w:lang w:val="en-US" w:eastAsia="zh-CN"/>
              </w:rPr>
              <w:t>荒草地和空地，</w:t>
            </w:r>
            <w:r>
              <w:rPr>
                <w:rFonts w:hint="default" w:ascii="Times New Roman" w:hAnsi="Times New Roman" w:cs="Times New Roman"/>
                <w:color w:val="auto"/>
                <w:lang w:val="zh-CN"/>
              </w:rPr>
              <w:t>主要用于堆放施工材料以及停放施工机械；施工营地1处，占地面积为</w:t>
            </w:r>
            <w:r>
              <w:rPr>
                <w:rFonts w:hint="default" w:ascii="Times New Roman" w:hAnsi="Times New Roman" w:cs="Times New Roman"/>
                <w:color w:val="auto"/>
                <w:lang w:val="en-US" w:eastAsia="zh-CN"/>
              </w:rPr>
              <w:t>0.02hm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zh-CN"/>
              </w:rPr>
              <w:t>，占地类型为</w:t>
            </w:r>
            <w:r>
              <w:rPr>
                <w:rFonts w:hint="default" w:ascii="Times New Roman" w:hAnsi="Times New Roman" w:cs="Times New Roman"/>
                <w:color w:val="auto"/>
                <w:lang w:val="en-US" w:eastAsia="zh-CN"/>
              </w:rPr>
              <w:t>荒</w:t>
            </w:r>
            <w:r>
              <w:rPr>
                <w:rFonts w:hint="default" w:ascii="Times New Roman" w:hAnsi="Times New Roman" w:cs="Times New Roman"/>
                <w:color w:val="auto"/>
                <w:lang w:val="zh-CN"/>
              </w:rPr>
              <w:t>草地，主要用于生活及办公，拟采用帐篷解决；</w:t>
            </w:r>
            <w:r>
              <w:rPr>
                <w:rFonts w:hint="default" w:ascii="Times New Roman" w:hAnsi="Times New Roman" w:cs="Times New Roman"/>
                <w:color w:val="auto"/>
                <w:lang w:val="en-US" w:eastAsia="zh-CN"/>
              </w:rPr>
              <w:t>谷坊、排洪渠及防洪堤施工时，开挖的土方堆放在沟道两侧，临时占地</w:t>
            </w:r>
            <w:r>
              <w:rPr>
                <w:rFonts w:hint="default" w:ascii="Times New Roman" w:hAnsi="Times New Roman" w:eastAsia="Times New Roman" w:cs="Times New Roman"/>
                <w:color w:val="auto"/>
                <w:spacing w:val="-2"/>
                <w:highlight w:val="none"/>
              </w:rPr>
              <w:t>1.20hm</w:t>
            </w:r>
            <w:r>
              <w:rPr>
                <w:rFonts w:hint="default" w:ascii="Times New Roman" w:hAnsi="Times New Roman" w:cs="Times New Roman"/>
                <w:color w:val="auto"/>
                <w:spacing w:val="-2"/>
                <w:highlight w:val="none"/>
              </w:rPr>
              <w:t>²</w:t>
            </w:r>
            <w:r>
              <w:rPr>
                <w:rFonts w:hint="default" w:ascii="Times New Roman" w:hAnsi="Times New Roman" w:cs="Times New Roman"/>
                <w:color w:val="auto"/>
                <w:spacing w:val="-5"/>
                <w:highlight w:val="none"/>
              </w:rPr>
              <w:t>，</w:t>
            </w:r>
            <w:r>
              <w:rPr>
                <w:rFonts w:hint="default" w:ascii="Times New Roman" w:hAnsi="Times New Roman" w:cs="Times New Roman"/>
                <w:color w:val="auto"/>
                <w:spacing w:val="-5"/>
                <w:highlight w:val="none"/>
                <w:lang w:val="en-US" w:eastAsia="zh-CN"/>
              </w:rPr>
              <w:t>占地类型为</w:t>
            </w:r>
            <w:r>
              <w:rPr>
                <w:rFonts w:hint="default" w:ascii="Times New Roman" w:hAnsi="Times New Roman" w:cs="Times New Roman"/>
                <w:color w:val="auto"/>
                <w:spacing w:val="-5"/>
                <w:highlight w:val="none"/>
              </w:rPr>
              <w:t>其他草地</w:t>
            </w:r>
            <w:r>
              <w:rPr>
                <w:rFonts w:hint="default" w:ascii="Times New Roman" w:hAnsi="Times New Roman" w:cs="Times New Roman"/>
                <w:color w:val="auto"/>
                <w:spacing w:val="-5"/>
                <w:highlight w:val="none"/>
                <w:lang w:val="en-US" w:eastAsia="zh-CN"/>
              </w:rPr>
              <w:t>和</w:t>
            </w:r>
            <w:r>
              <w:rPr>
                <w:rFonts w:hint="default" w:ascii="Times New Roman" w:hAnsi="Times New Roman" w:cs="Times New Roman"/>
                <w:color w:val="auto"/>
                <w:spacing w:val="-2"/>
                <w:highlight w:val="none"/>
              </w:rPr>
              <w:t>内陆滩涂</w:t>
            </w:r>
            <w:r>
              <w:rPr>
                <w:rFonts w:hint="default" w:ascii="Times New Roman" w:hAnsi="Times New Roman" w:cs="Times New Roman"/>
                <w:color w:val="auto"/>
                <w:lang w:val="zh-CN"/>
              </w:rPr>
              <w:t>。</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工程占地如表下所示。</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表2-4  工程临时占地一览表</w:t>
            </w:r>
          </w:p>
          <w:tbl>
            <w:tblPr>
              <w:tblStyle w:val="23"/>
              <w:tblW w:w="4968" w:type="pct"/>
              <w:jc w:val="center"/>
              <w:tblLayout w:type="autofit"/>
              <w:tblCellMar>
                <w:top w:w="0" w:type="dxa"/>
                <w:left w:w="10" w:type="dxa"/>
                <w:bottom w:w="0" w:type="dxa"/>
                <w:right w:w="10" w:type="dxa"/>
              </w:tblCellMar>
            </w:tblPr>
            <w:tblGrid>
              <w:gridCol w:w="1614"/>
              <w:gridCol w:w="1308"/>
              <w:gridCol w:w="1356"/>
              <w:gridCol w:w="3535"/>
            </w:tblGrid>
            <w:tr>
              <w:tblPrEx>
                <w:tblCellMar>
                  <w:top w:w="0" w:type="dxa"/>
                  <w:left w:w="10" w:type="dxa"/>
                  <w:bottom w:w="0" w:type="dxa"/>
                  <w:right w:w="10" w:type="dxa"/>
                </w:tblCellMar>
              </w:tblPrEx>
              <w:trPr>
                <w:trHeight w:val="272"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工程占地统计表</w:t>
                  </w:r>
                </w:p>
              </w:tc>
            </w:tr>
            <w:tr>
              <w:tblPrEx>
                <w:tblCellMar>
                  <w:top w:w="0" w:type="dxa"/>
                  <w:left w:w="10" w:type="dxa"/>
                  <w:bottom w:w="0" w:type="dxa"/>
                  <w:right w:w="10" w:type="dxa"/>
                </w:tblCellMar>
              </w:tblPrEx>
              <w:trPr>
                <w:trHeight w:val="272" w:hRule="atLeast"/>
                <w:jc w:val="center"/>
              </w:trPr>
              <w:tc>
                <w:tcPr>
                  <w:tcW w:w="103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名称</w:t>
                  </w:r>
                </w:p>
              </w:tc>
              <w:tc>
                <w:tcPr>
                  <w:tcW w:w="83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面积（</w:t>
                  </w:r>
                  <w:r>
                    <w:rPr>
                      <w:rFonts w:hint="default" w:ascii="Times New Roman" w:hAnsi="Times New Roman" w:cs="Times New Roman"/>
                      <w:b/>
                      <w:bCs/>
                      <w:color w:val="auto"/>
                      <w:sz w:val="21"/>
                      <w:szCs w:val="21"/>
                      <w:lang w:val="en-US" w:eastAsia="zh-CN"/>
                    </w:rPr>
                    <w:t>hm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color w:val="auto"/>
                      <w:kern w:val="0"/>
                      <w:sz w:val="21"/>
                      <w:szCs w:val="21"/>
                    </w:rPr>
                    <w:t>）</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性质</w:t>
                  </w:r>
                </w:p>
              </w:tc>
              <w:tc>
                <w:tcPr>
                  <w:tcW w:w="226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rPr>
                    <w:t>占地类型</w:t>
                  </w:r>
                </w:p>
              </w:tc>
            </w:tr>
            <w:tr>
              <w:tblPrEx>
                <w:tblCellMar>
                  <w:top w:w="0" w:type="dxa"/>
                  <w:left w:w="10" w:type="dxa"/>
                  <w:bottom w:w="0" w:type="dxa"/>
                  <w:right w:w="10" w:type="dxa"/>
                </w:tblCellMar>
              </w:tblPrEx>
              <w:trPr>
                <w:trHeight w:val="272" w:hRule="atLeast"/>
                <w:jc w:val="center"/>
              </w:trPr>
              <w:tc>
                <w:tcPr>
                  <w:tcW w:w="1033" w:type="pct"/>
                  <w:tcBorders>
                    <w:top w:val="single" w:color="000000" w:sz="4" w:space="0"/>
                    <w:left w:val="single" w:color="000000" w:sz="4" w:space="0"/>
                    <w:bottom w:val="nil"/>
                    <w:right w:val="single" w:color="000000" w:sz="4" w:space="0"/>
                  </w:tcBorders>
                  <w:noWrap/>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rPr>
                    <w:t>施工营地</w:t>
                  </w:r>
                </w:p>
              </w:tc>
              <w:tc>
                <w:tcPr>
                  <w:tcW w:w="83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临时占地</w:t>
                  </w:r>
                </w:p>
              </w:tc>
              <w:tc>
                <w:tcPr>
                  <w:tcW w:w="226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荒草地0.02</w:t>
                  </w:r>
                  <w:r>
                    <w:rPr>
                      <w:rFonts w:hint="default" w:ascii="Times New Roman" w:hAnsi="Times New Roman" w:cs="Times New Roman"/>
                      <w:color w:val="auto"/>
                      <w:sz w:val="21"/>
                      <w:szCs w:val="21"/>
                      <w:lang w:val="en-US" w:eastAsia="zh-CN"/>
                    </w:rPr>
                    <w:t>hm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zh-CN"/>
                    </w:rPr>
                    <w:t>，</w:t>
                  </w:r>
                </w:p>
              </w:tc>
            </w:tr>
            <w:tr>
              <w:tblPrEx>
                <w:tblCellMar>
                  <w:top w:w="0" w:type="dxa"/>
                  <w:left w:w="10" w:type="dxa"/>
                  <w:bottom w:w="0" w:type="dxa"/>
                  <w:right w:w="10" w:type="dxa"/>
                </w:tblCellMar>
              </w:tblPrEx>
              <w:trPr>
                <w:trHeight w:val="272" w:hRule="atLeast"/>
                <w:jc w:val="center"/>
              </w:trPr>
              <w:tc>
                <w:tcPr>
                  <w:tcW w:w="103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rPr>
                    <w:t>临时施工区</w:t>
                  </w:r>
                </w:p>
              </w:tc>
              <w:tc>
                <w:tcPr>
                  <w:tcW w:w="83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0.06</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临时占地</w:t>
                  </w:r>
                </w:p>
              </w:tc>
              <w:tc>
                <w:tcPr>
                  <w:tcW w:w="226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空地0.03</w:t>
                  </w:r>
                  <w:r>
                    <w:rPr>
                      <w:rFonts w:hint="default" w:ascii="Times New Roman" w:hAnsi="Times New Roman" w:cs="Times New Roman"/>
                      <w:color w:val="auto"/>
                      <w:sz w:val="21"/>
                      <w:szCs w:val="21"/>
                      <w:lang w:val="en-US" w:eastAsia="zh-CN"/>
                    </w:rPr>
                    <w:t>hm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lang w:val="en-US" w:eastAsia="zh-CN"/>
                    </w:rPr>
                    <w:t>其他草地0.03hm</w:t>
                  </w:r>
                  <w:r>
                    <w:rPr>
                      <w:rFonts w:hint="default" w:ascii="Times New Roman" w:hAnsi="Times New Roman" w:cs="Times New Roman"/>
                      <w:color w:val="auto"/>
                      <w:sz w:val="21"/>
                      <w:szCs w:val="21"/>
                      <w:vertAlign w:val="superscript"/>
                      <w:lang w:val="en-US" w:eastAsia="zh-CN"/>
                    </w:rPr>
                    <w:t>2</w:t>
                  </w:r>
                </w:p>
              </w:tc>
            </w:tr>
            <w:tr>
              <w:tblPrEx>
                <w:tblCellMar>
                  <w:top w:w="0" w:type="dxa"/>
                  <w:left w:w="10" w:type="dxa"/>
                  <w:bottom w:w="0" w:type="dxa"/>
                  <w:right w:w="10" w:type="dxa"/>
                </w:tblCellMar>
              </w:tblPrEx>
              <w:trPr>
                <w:trHeight w:val="272" w:hRule="atLeast"/>
                <w:jc w:val="center"/>
              </w:trPr>
              <w:tc>
                <w:tcPr>
                  <w:tcW w:w="103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主体工程施工</w:t>
                  </w:r>
                </w:p>
              </w:tc>
              <w:tc>
                <w:tcPr>
                  <w:tcW w:w="83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临时占地</w:t>
                  </w:r>
                </w:p>
              </w:tc>
              <w:tc>
                <w:tcPr>
                  <w:tcW w:w="226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内陆滩涂1.16</w:t>
                  </w:r>
                  <w:r>
                    <w:rPr>
                      <w:rFonts w:hint="default" w:ascii="Times New Roman" w:hAnsi="Times New Roman" w:cs="Times New Roman"/>
                      <w:color w:val="auto"/>
                      <w:sz w:val="21"/>
                      <w:szCs w:val="21"/>
                      <w:lang w:val="en-US" w:eastAsia="zh-CN"/>
                    </w:rPr>
                    <w:t>hm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lang w:val="en-US" w:eastAsia="zh-CN"/>
                    </w:rPr>
                    <w:t>其他草地0.04hm</w:t>
                  </w:r>
                  <w:r>
                    <w:rPr>
                      <w:rFonts w:hint="default" w:ascii="Times New Roman" w:hAnsi="Times New Roman" w:cs="Times New Roman"/>
                      <w:color w:val="auto"/>
                      <w:sz w:val="21"/>
                      <w:szCs w:val="21"/>
                      <w:vertAlign w:val="superscript"/>
                      <w:lang w:val="en-US" w:eastAsia="zh-CN"/>
                    </w:rPr>
                    <w:t>2</w:t>
                  </w:r>
                </w:p>
              </w:tc>
            </w:tr>
            <w:tr>
              <w:tblPrEx>
                <w:tblCellMar>
                  <w:top w:w="0" w:type="dxa"/>
                  <w:left w:w="10" w:type="dxa"/>
                  <w:bottom w:w="0" w:type="dxa"/>
                  <w:right w:w="10" w:type="dxa"/>
                </w:tblCellMar>
              </w:tblPrEx>
              <w:trPr>
                <w:trHeight w:val="272" w:hRule="atLeast"/>
                <w:jc w:val="center"/>
              </w:trPr>
              <w:tc>
                <w:tcPr>
                  <w:tcW w:w="103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合计</w:t>
                  </w:r>
                </w:p>
              </w:tc>
              <w:tc>
                <w:tcPr>
                  <w:tcW w:w="3966" w:type="pct"/>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1.28</w:t>
                  </w:r>
                </w:p>
              </w:tc>
            </w:tr>
          </w:tbl>
          <w:p>
            <w:pPr>
              <w:adjustRightInd w:val="0"/>
              <w:snapToGrid w:val="0"/>
              <w:spacing w:line="360" w:lineRule="auto"/>
              <w:ind w:firstLine="482" w:firstLineChars="200"/>
              <w:rPr>
                <w:rFonts w:hint="default" w:ascii="Times New Roman" w:hAnsi="Times New Roman" w:cs="Times New Roman"/>
                <w:color w:val="auto"/>
                <w:szCs w:val="21"/>
              </w:rPr>
            </w:pPr>
            <w:r>
              <w:rPr>
                <w:rFonts w:hint="default" w:ascii="Times New Roman" w:hAnsi="Times New Roman" w:cs="Times New Roman"/>
                <w:b/>
                <w:bCs/>
                <w:color w:val="auto"/>
                <w:szCs w:val="21"/>
              </w:rPr>
              <w:t>7、项目土石方平衡</w:t>
            </w:r>
          </w:p>
          <w:p>
            <w:pPr>
              <w:spacing w:line="360" w:lineRule="auto"/>
              <w:ind w:firstLine="480" w:firstLineChars="200"/>
              <w:rPr>
                <w:rFonts w:hint="default" w:ascii="Times New Roman" w:hAnsi="Times New Roman" w:cs="Times New Roman"/>
                <w:color w:val="auto"/>
                <w:lang w:val="en-US"/>
              </w:rPr>
            </w:pPr>
            <w:r>
              <w:rPr>
                <w:rFonts w:hint="default" w:ascii="Times New Roman" w:hAnsi="Times New Roman" w:cs="Times New Roman"/>
                <w:color w:val="auto"/>
              </w:rPr>
              <w:t>本工程土石方开挖总量为</w:t>
            </w:r>
            <w:r>
              <w:rPr>
                <w:rFonts w:hint="default" w:ascii="Times New Roman" w:hAnsi="Times New Roman" w:cs="Times New Roman"/>
                <w:color w:val="auto"/>
                <w:lang w:val="en-US" w:eastAsia="zh-CN"/>
              </w:rPr>
              <w:t>42525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，土石方回填总量为</w:t>
            </w:r>
            <w:r>
              <w:rPr>
                <w:rFonts w:hint="default" w:ascii="Times New Roman" w:hAnsi="Times New Roman" w:cs="Times New Roman"/>
                <w:color w:val="auto"/>
                <w:lang w:val="en-US" w:eastAsia="zh-CN"/>
              </w:rPr>
              <w:t>42525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土方挖填主要工程为谷坊、排洪渠、防洪堤</w:t>
            </w:r>
            <w:r>
              <w:rPr>
                <w:rFonts w:hint="eastAsia" w:cs="Times New Roman"/>
                <w:color w:val="auto"/>
                <w:lang w:val="en-US" w:eastAsia="zh-CN"/>
              </w:rPr>
              <w:t>，排洪渠工程多余的土方量用于防洪堤工程护坡回填，土方开挖在区域内挖填平衡，</w:t>
            </w:r>
            <w:r>
              <w:rPr>
                <w:rFonts w:hint="default" w:ascii="Times New Roman" w:hAnsi="Times New Roman" w:cs="Times New Roman"/>
                <w:color w:val="auto"/>
                <w:lang w:val="en-US" w:eastAsia="zh-CN"/>
              </w:rPr>
              <w:t>无弃方。临时工程占地均为平地，无需进行土方开挖回填，故临时工程无挖填土方。</w:t>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表2-5  项目土石方平衡表</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73"/>
              <w:gridCol w:w="1024"/>
              <w:gridCol w:w="976"/>
              <w:gridCol w:w="713"/>
              <w:gridCol w:w="1038"/>
              <w:gridCol w:w="873"/>
              <w:gridCol w:w="676"/>
              <w:gridCol w:w="650"/>
              <w:gridCol w:w="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4" w:type="pct"/>
                  <w:vMerge w:val="restart"/>
                  <w:vAlign w:val="center"/>
                </w:tcPr>
                <w:p>
                  <w:pPr>
                    <w:widowControl/>
                    <w:jc w:val="center"/>
                    <w:rPr>
                      <w:rFonts w:hint="default" w:ascii="Times New Roman" w:hAnsi="Times New Roman" w:cs="Times New Roman"/>
                      <w:b/>
                      <w:bCs/>
                      <w:color w:val="auto"/>
                      <w:kern w:val="0"/>
                      <w:sz w:val="21"/>
                      <w:szCs w:val="21"/>
                    </w:rPr>
                  </w:pPr>
                </w:p>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工程分区</w:t>
                  </w:r>
                </w:p>
              </w:tc>
              <w:tc>
                <w:tcPr>
                  <w:tcW w:w="652" w:type="pct"/>
                  <w:vMerge w:val="restart"/>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土石方开挖</w:t>
                  </w:r>
                </w:p>
              </w:tc>
              <w:tc>
                <w:tcPr>
                  <w:tcW w:w="621" w:type="pct"/>
                  <w:vMerge w:val="restart"/>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土石方回填</w:t>
                  </w:r>
                </w:p>
              </w:tc>
              <w:tc>
                <w:tcPr>
                  <w:tcW w:w="1115" w:type="pct"/>
                  <w:gridSpan w:val="2"/>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余方</w:t>
                  </w:r>
                </w:p>
              </w:tc>
              <w:tc>
                <w:tcPr>
                  <w:tcW w:w="986" w:type="pct"/>
                  <w:gridSpan w:val="2"/>
                  <w:vAlign w:val="center"/>
                </w:tcPr>
                <w:p>
                  <w:pPr>
                    <w:widowControl/>
                    <w:jc w:val="center"/>
                    <w:rPr>
                      <w:rFonts w:hint="default" w:ascii="Times New Roman" w:hAnsi="Times New Roman" w:cs="Times New Roman"/>
                      <w:b/>
                      <w:bCs/>
                      <w:color w:val="auto"/>
                      <w:kern w:val="0"/>
                      <w:sz w:val="21"/>
                      <w:szCs w:val="21"/>
                    </w:rPr>
                  </w:pPr>
                  <w:r>
                    <w:rPr>
                      <w:rFonts w:hint="eastAsia" w:cs="Times New Roman"/>
                      <w:b/>
                      <w:bCs/>
                      <w:color w:val="auto"/>
                      <w:kern w:val="0"/>
                      <w:sz w:val="21"/>
                      <w:szCs w:val="21"/>
                      <w:lang w:val="en-US" w:eastAsia="zh-CN"/>
                    </w:rPr>
                    <w:t>借方</w:t>
                  </w:r>
                </w:p>
              </w:tc>
              <w:tc>
                <w:tcPr>
                  <w:tcW w:w="749" w:type="pct"/>
                  <w:gridSpan w:val="2"/>
                  <w:vAlign w:val="center"/>
                </w:tcPr>
                <w:p>
                  <w:pPr>
                    <w:widowControl/>
                    <w:jc w:val="center"/>
                    <w:rPr>
                      <w:rFonts w:hint="default" w:ascii="Times New Roman" w:hAnsi="Times New Roman" w:cs="Times New Roman"/>
                      <w:b/>
                      <w:bCs/>
                      <w:color w:val="auto"/>
                      <w:kern w:val="0"/>
                      <w:sz w:val="21"/>
                      <w:szCs w:val="21"/>
                    </w:rPr>
                  </w:pPr>
                  <w:r>
                    <w:rPr>
                      <w:rFonts w:hint="eastAsia" w:cs="Times New Roman"/>
                      <w:b/>
                      <w:bCs/>
                      <w:color w:val="auto"/>
                      <w:kern w:val="0"/>
                      <w:sz w:val="21"/>
                      <w:szCs w:val="21"/>
                      <w:lang w:val="en-US" w:eastAsia="zh-CN"/>
                    </w:rPr>
                    <w:t>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4" w:type="pct"/>
                  <w:vMerge w:val="continue"/>
                  <w:tcBorders>
                    <w:top w:val="nil"/>
                  </w:tcBorders>
                  <w:vAlign w:val="center"/>
                </w:tcPr>
                <w:p>
                  <w:pPr>
                    <w:widowControl/>
                    <w:jc w:val="center"/>
                    <w:rPr>
                      <w:rFonts w:hint="default" w:ascii="Times New Roman" w:hAnsi="Times New Roman" w:cs="Times New Roman"/>
                      <w:color w:val="auto"/>
                      <w:kern w:val="0"/>
                      <w:sz w:val="21"/>
                      <w:szCs w:val="21"/>
                    </w:rPr>
                  </w:pPr>
                </w:p>
              </w:tc>
              <w:tc>
                <w:tcPr>
                  <w:tcW w:w="652" w:type="pct"/>
                  <w:vMerge w:val="continue"/>
                  <w:tcBorders>
                    <w:top w:val="nil"/>
                  </w:tcBorders>
                  <w:vAlign w:val="center"/>
                </w:tcPr>
                <w:p>
                  <w:pPr>
                    <w:widowControl/>
                    <w:jc w:val="center"/>
                    <w:rPr>
                      <w:rFonts w:hint="default" w:ascii="Times New Roman" w:hAnsi="Times New Roman" w:cs="Times New Roman"/>
                      <w:color w:val="auto"/>
                      <w:kern w:val="0"/>
                      <w:sz w:val="21"/>
                      <w:szCs w:val="21"/>
                    </w:rPr>
                  </w:pPr>
                </w:p>
              </w:tc>
              <w:tc>
                <w:tcPr>
                  <w:tcW w:w="621" w:type="pct"/>
                  <w:vMerge w:val="continue"/>
                  <w:tcBorders>
                    <w:top w:val="nil"/>
                  </w:tcBorders>
                  <w:vAlign w:val="center"/>
                </w:tcPr>
                <w:p>
                  <w:pPr>
                    <w:widowControl/>
                    <w:jc w:val="center"/>
                    <w:rPr>
                      <w:rFonts w:hint="default" w:ascii="Times New Roman" w:hAnsi="Times New Roman" w:cs="Times New Roman"/>
                      <w:color w:val="auto"/>
                      <w:kern w:val="0"/>
                      <w:sz w:val="21"/>
                      <w:szCs w:val="21"/>
                    </w:rPr>
                  </w:pPr>
                </w:p>
              </w:tc>
              <w:tc>
                <w:tcPr>
                  <w:tcW w:w="45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数量</w:t>
                  </w:r>
                </w:p>
              </w:tc>
              <w:tc>
                <w:tcPr>
                  <w:tcW w:w="661"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去向</w:t>
                  </w:r>
                </w:p>
              </w:tc>
              <w:tc>
                <w:tcPr>
                  <w:tcW w:w="556"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数量</w:t>
                  </w:r>
                </w:p>
              </w:tc>
              <w:tc>
                <w:tcPr>
                  <w:tcW w:w="430" w:type="pct"/>
                  <w:vAlign w:val="center"/>
                </w:tcPr>
                <w:p>
                  <w:pPr>
                    <w:widowControl/>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来源</w:t>
                  </w:r>
                </w:p>
              </w:tc>
              <w:tc>
                <w:tcPr>
                  <w:tcW w:w="41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数量</w:t>
                  </w:r>
                </w:p>
              </w:tc>
              <w:tc>
                <w:tcPr>
                  <w:tcW w:w="335"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7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谷坊工程区</w:t>
                  </w:r>
                </w:p>
              </w:tc>
              <w:tc>
                <w:tcPr>
                  <w:tcW w:w="652"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309</w:t>
                  </w:r>
                </w:p>
              </w:tc>
              <w:tc>
                <w:tcPr>
                  <w:tcW w:w="621"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309</w:t>
                  </w:r>
                </w:p>
              </w:tc>
              <w:tc>
                <w:tcPr>
                  <w:tcW w:w="454" w:type="pct"/>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661" w:type="pct"/>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56" w:type="pct"/>
                  <w:vAlign w:val="center"/>
                </w:tcPr>
                <w:p>
                  <w:pPr>
                    <w:widowControl/>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0" w:type="pct"/>
                  <w:vAlign w:val="center"/>
                </w:tcPr>
                <w:p>
                  <w:pPr>
                    <w:widowControl/>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414" w:type="pct"/>
                  <w:vAlign w:val="center"/>
                </w:tcPr>
                <w:p>
                  <w:pPr>
                    <w:widowControl/>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35" w:type="pct"/>
                  <w:vAlign w:val="center"/>
                </w:tcPr>
                <w:p>
                  <w:pPr>
                    <w:widowControl/>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排洪渠工程区</w:t>
                  </w:r>
                </w:p>
              </w:tc>
              <w:tc>
                <w:tcPr>
                  <w:tcW w:w="652"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10850</w:t>
                  </w:r>
                </w:p>
              </w:tc>
              <w:tc>
                <w:tcPr>
                  <w:tcW w:w="621" w:type="pct"/>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82</w:t>
                  </w:r>
                  <w:r>
                    <w:rPr>
                      <w:rFonts w:hint="default" w:ascii="Times New Roman" w:hAnsi="Times New Roman" w:cs="Times New Roman"/>
                      <w:color w:val="auto"/>
                      <w:kern w:val="0"/>
                      <w:sz w:val="21"/>
                      <w:szCs w:val="21"/>
                    </w:rPr>
                    <w:t>50</w:t>
                  </w:r>
                </w:p>
              </w:tc>
              <w:tc>
                <w:tcPr>
                  <w:tcW w:w="454"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2600</w:t>
                  </w:r>
                </w:p>
              </w:tc>
              <w:tc>
                <w:tcPr>
                  <w:tcW w:w="661"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防洪堤工程</w:t>
                  </w:r>
                </w:p>
              </w:tc>
              <w:tc>
                <w:tcPr>
                  <w:tcW w:w="556"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w:t>
                  </w:r>
                </w:p>
              </w:tc>
              <w:tc>
                <w:tcPr>
                  <w:tcW w:w="430"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w:t>
                  </w:r>
                </w:p>
              </w:tc>
              <w:tc>
                <w:tcPr>
                  <w:tcW w:w="414"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w:t>
                  </w:r>
                </w:p>
              </w:tc>
              <w:tc>
                <w:tcPr>
                  <w:tcW w:w="335"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防洪堤工程区</w:t>
                  </w:r>
                </w:p>
              </w:tc>
              <w:tc>
                <w:tcPr>
                  <w:tcW w:w="652"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31366</w:t>
                  </w:r>
                </w:p>
              </w:tc>
              <w:tc>
                <w:tcPr>
                  <w:tcW w:w="621" w:type="pct"/>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3</w:t>
                  </w:r>
                  <w:r>
                    <w:rPr>
                      <w:rFonts w:hint="eastAsia" w:cs="Times New Roman"/>
                      <w:color w:val="auto"/>
                      <w:kern w:val="0"/>
                      <w:sz w:val="21"/>
                      <w:szCs w:val="21"/>
                      <w:lang w:val="en-US" w:eastAsia="zh-CN"/>
                    </w:rPr>
                    <w:t>3966</w:t>
                  </w:r>
                </w:p>
              </w:tc>
              <w:tc>
                <w:tcPr>
                  <w:tcW w:w="713" w:type="dxa"/>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038" w:type="dxa"/>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56"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2600</w:t>
                  </w:r>
                </w:p>
              </w:tc>
              <w:tc>
                <w:tcPr>
                  <w:tcW w:w="430"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排洪渠工程</w:t>
                  </w:r>
                </w:p>
              </w:tc>
              <w:tc>
                <w:tcPr>
                  <w:tcW w:w="414"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w:t>
                  </w:r>
                </w:p>
              </w:tc>
              <w:tc>
                <w:tcPr>
                  <w:tcW w:w="335"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4"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合计</w:t>
                  </w:r>
                </w:p>
              </w:tc>
              <w:tc>
                <w:tcPr>
                  <w:tcW w:w="652"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42525</w:t>
                  </w:r>
                </w:p>
              </w:tc>
              <w:tc>
                <w:tcPr>
                  <w:tcW w:w="621"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42525</w:t>
                  </w:r>
                </w:p>
              </w:tc>
              <w:tc>
                <w:tcPr>
                  <w:tcW w:w="454" w:type="pct"/>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661" w:type="pct"/>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56"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0"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414"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35" w:type="pct"/>
                  <w:vAlign w:val="center"/>
                </w:tcPr>
                <w:p>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bl>
          <w:p>
            <w:pPr>
              <w:adjustRightInd w:val="0"/>
              <w:snapToGrid w:val="0"/>
              <w:spacing w:line="360" w:lineRule="auto"/>
              <w:rPr>
                <w:rFonts w:hint="default" w:ascii="Times New Roman" w:hAnsi="Times New Roman" w:cs="Times New Roman"/>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5" w:hRule="atLeast"/>
          <w:jc w:val="center"/>
        </w:trPr>
        <w:tc>
          <w:tcPr>
            <w:tcW w:w="457"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总</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平</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面</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及</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现</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场</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布</w:t>
            </w:r>
          </w:p>
          <w:p>
            <w:pPr>
              <w:adjustRightInd w:val="0"/>
              <w:snapToGrid w:val="0"/>
              <w:spacing w:line="360" w:lineRule="auto"/>
              <w:jc w:val="center"/>
              <w:rPr>
                <w:rFonts w:hint="default" w:ascii="Times New Roman" w:hAnsi="Times New Roman" w:cs="Times New Roman"/>
                <w:color w:val="auto"/>
                <w:kern w:val="0"/>
              </w:rPr>
            </w:pPr>
            <w:r>
              <w:rPr>
                <w:rFonts w:hint="default" w:ascii="Times New Roman" w:hAnsi="Times New Roman" w:cs="Times New Roman"/>
                <w:b/>
                <w:bCs/>
                <w:color w:val="auto"/>
                <w:kern w:val="0"/>
              </w:rPr>
              <w:t>置</w:t>
            </w:r>
          </w:p>
        </w:tc>
        <w:tc>
          <w:tcPr>
            <w:tcW w:w="8063" w:type="dxa"/>
            <w:vAlign w:val="center"/>
          </w:tcPr>
          <w:p>
            <w:pPr>
              <w:adjustRightInd w:val="0"/>
              <w:snapToGrid w:val="0"/>
              <w:spacing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1、主体工程总平面布置</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工程修建谷坊</w:t>
            </w:r>
            <w:r>
              <w:rPr>
                <w:rFonts w:hint="default" w:ascii="Times New Roman" w:hAnsi="Times New Roman" w:cs="Times New Roman"/>
                <w:color w:val="auto"/>
                <w:lang w:val="en-US" w:eastAsia="zh-CN"/>
              </w:rPr>
              <w:t>4</w:t>
            </w:r>
            <w:r>
              <w:rPr>
                <w:rFonts w:hint="default" w:ascii="Times New Roman" w:hAnsi="Times New Roman" w:cs="Times New Roman"/>
                <w:color w:val="auto"/>
              </w:rPr>
              <w:t>座，谷坊从沟头至沟口依次布置；修建排洪渠</w:t>
            </w:r>
            <w:r>
              <w:rPr>
                <w:rFonts w:hint="default" w:ascii="Times New Roman" w:hAnsi="Times New Roman" w:cs="Times New Roman"/>
                <w:color w:val="auto"/>
                <w:lang w:val="en-US" w:eastAsia="zh-CN"/>
              </w:rPr>
              <w:t>1</w:t>
            </w:r>
            <w:r>
              <w:rPr>
                <w:rFonts w:hint="default" w:ascii="Times New Roman" w:hAnsi="Times New Roman" w:cs="Times New Roman"/>
                <w:color w:val="auto"/>
              </w:rPr>
              <w:t>000m，排洪渠工程从沟口桥涵0+000开始至1+000处结束，排洪渠沿原沟道走向布置，采用钢筋混凝土明渠结构，排洪渠于桩号0+000、0+710、0+850处与已建桥涵护坡平顺衔接；修建防洪堤2800m，防洪堤工程从沟道中心桩号 1+000处开始至入黄河处桩号2+400结束，</w:t>
            </w:r>
            <w:r>
              <w:rPr>
                <w:rFonts w:hint="eastAsia" w:cs="Times New Roman"/>
                <w:color w:val="auto"/>
                <w:lang w:val="en-US" w:eastAsia="zh-CN"/>
              </w:rPr>
              <w:t>沟道治理终点距离入黄口20m处。</w:t>
            </w:r>
            <w:r>
              <w:rPr>
                <w:rFonts w:hint="default" w:ascii="Times New Roman" w:hAnsi="Times New Roman" w:cs="Times New Roman"/>
                <w:color w:val="auto"/>
              </w:rPr>
              <w:t>防洪堤沿原沟道走向布置，采用重力式混凝土结构双面防护，防洪堤于沟道中心桩号1+060</w:t>
            </w:r>
            <w:r>
              <w:rPr>
                <w:rFonts w:hint="eastAsia" w:cs="Times New Roman"/>
                <w:color w:val="auto"/>
                <w:lang w:eastAsia="zh-CN"/>
              </w:rPr>
              <w:t>、</w:t>
            </w:r>
            <w:r>
              <w:rPr>
                <w:rFonts w:hint="default" w:ascii="Times New Roman" w:hAnsi="Times New Roman" w:cs="Times New Roman"/>
                <w:color w:val="auto"/>
              </w:rPr>
              <w:t>1+840处与已建桥涵护坡平顺衔接；修建防冲坎12座</w:t>
            </w:r>
            <w:r>
              <w:rPr>
                <w:rFonts w:hint="eastAsia" w:cs="Times New Roman"/>
                <w:color w:val="auto"/>
                <w:lang w:eastAsia="zh-CN"/>
              </w:rPr>
              <w:t>，</w:t>
            </w:r>
            <w:r>
              <w:rPr>
                <w:rFonts w:hint="default" w:ascii="Times New Roman" w:hAnsi="Times New Roman" w:cs="Times New Roman"/>
                <w:color w:val="auto"/>
              </w:rPr>
              <w:t>于防洪堤起点至终点依次布置，每100m设一道；修建跨公路桥涵 1座，布置于沟道中心桩号 2+100处。</w:t>
            </w:r>
          </w:p>
          <w:p>
            <w:pPr>
              <w:adjustRightInd w:val="0"/>
              <w:snapToGrid w:val="0"/>
              <w:spacing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2、临时工程现场布置</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工程布置临时施工区</w:t>
            </w:r>
            <w:r>
              <w:rPr>
                <w:rFonts w:hint="default" w:ascii="Times New Roman" w:hAnsi="Times New Roman" w:cs="Times New Roman"/>
                <w:color w:val="auto"/>
                <w:lang w:val="en-US" w:eastAsia="zh-CN"/>
              </w:rPr>
              <w:t>2</w:t>
            </w:r>
            <w:r>
              <w:rPr>
                <w:rFonts w:hint="default" w:ascii="Times New Roman" w:hAnsi="Times New Roman" w:cs="Times New Roman"/>
                <w:color w:val="auto"/>
              </w:rPr>
              <w:t>处，施工营地1处，临时工程布置位置如下表及附图2。</w:t>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表2-6  临时工程位置一览表</w:t>
            </w:r>
          </w:p>
          <w:tbl>
            <w:tblPr>
              <w:tblStyle w:val="23"/>
              <w:tblW w:w="4974" w:type="pct"/>
              <w:jc w:val="center"/>
              <w:tblLayout w:type="autofit"/>
              <w:tblCellMar>
                <w:top w:w="0" w:type="dxa"/>
                <w:left w:w="0" w:type="dxa"/>
                <w:bottom w:w="0" w:type="dxa"/>
                <w:right w:w="0" w:type="dxa"/>
              </w:tblCellMar>
            </w:tblPr>
            <w:tblGrid>
              <w:gridCol w:w="1347"/>
              <w:gridCol w:w="1839"/>
              <w:gridCol w:w="2499"/>
              <w:gridCol w:w="1105"/>
              <w:gridCol w:w="1032"/>
            </w:tblGrid>
            <w:tr>
              <w:tblPrEx>
                <w:tblCellMar>
                  <w:top w:w="0" w:type="dxa"/>
                  <w:left w:w="0" w:type="dxa"/>
                  <w:bottom w:w="0" w:type="dxa"/>
                  <w:right w:w="0" w:type="dxa"/>
                </w:tblCellMar>
              </w:tblPrEx>
              <w:trPr>
                <w:trHeight w:val="23" w:hRule="atLeast"/>
                <w:jc w:val="center"/>
              </w:trPr>
              <w:tc>
                <w:tcPr>
                  <w:tcW w:w="861"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rPr>
                    <w:t>名称</w:t>
                  </w:r>
                </w:p>
              </w:tc>
              <w:tc>
                <w:tcPr>
                  <w:tcW w:w="2772" w:type="pct"/>
                  <w:gridSpan w:val="2"/>
                  <w:tcBorders>
                    <w:top w:val="single" w:color="000000" w:sz="4" w:space="0"/>
                    <w:left w:val="single" w:color="auto" w:sz="4" w:space="0"/>
                    <w:bottom w:val="single" w:color="auto" w:sz="4" w:space="0"/>
                    <w:right w:val="single" w:color="000000" w:sz="4" w:space="0"/>
                  </w:tcBorders>
                  <w:vAlign w:val="center"/>
                </w:tcPr>
                <w:p>
                  <w:pPr>
                    <w:widowControl/>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布设位置</w:t>
                  </w:r>
                </w:p>
              </w:tc>
              <w:tc>
                <w:tcPr>
                  <w:tcW w:w="706" w:type="pct"/>
                  <w:vMerge w:val="restart"/>
                  <w:tcBorders>
                    <w:top w:val="single" w:color="000000" w:sz="4" w:space="0"/>
                    <w:left w:val="single" w:color="auto" w:sz="4" w:space="0"/>
                    <w:right w:val="single" w:color="000000" w:sz="4" w:space="0"/>
                  </w:tcBorders>
                  <w:vAlign w:val="center"/>
                </w:tcPr>
                <w:p>
                  <w:pPr>
                    <w:widowControl/>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土地现状</w:t>
                  </w:r>
                </w:p>
              </w:tc>
              <w:tc>
                <w:tcPr>
                  <w:tcW w:w="659" w:type="pct"/>
                  <w:vMerge w:val="restart"/>
                  <w:tcBorders>
                    <w:top w:val="single" w:color="000000" w:sz="4" w:space="0"/>
                    <w:left w:val="single" w:color="auto" w:sz="4" w:space="0"/>
                    <w:right w:val="single" w:color="000000" w:sz="4" w:space="0"/>
                  </w:tcBorders>
                  <w:vAlign w:val="center"/>
                </w:tcPr>
                <w:p>
                  <w:pPr>
                    <w:widowControl/>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植被情况</w:t>
                  </w:r>
                </w:p>
              </w:tc>
            </w:tr>
            <w:tr>
              <w:tblPrEx>
                <w:tblCellMar>
                  <w:top w:w="0" w:type="dxa"/>
                  <w:left w:w="0" w:type="dxa"/>
                  <w:bottom w:w="0" w:type="dxa"/>
                  <w:right w:w="0" w:type="dxa"/>
                </w:tblCellMar>
              </w:tblPrEx>
              <w:trPr>
                <w:trHeight w:val="23" w:hRule="atLeast"/>
                <w:jc w:val="center"/>
              </w:trPr>
              <w:tc>
                <w:tcPr>
                  <w:tcW w:w="861"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kern w:val="0"/>
                      <w:sz w:val="21"/>
                      <w:szCs w:val="21"/>
                    </w:rPr>
                  </w:pPr>
                </w:p>
              </w:tc>
              <w:tc>
                <w:tcPr>
                  <w:tcW w:w="1175" w:type="pct"/>
                  <w:tcBorders>
                    <w:top w:val="single" w:color="auto" w:sz="4" w:space="0"/>
                    <w:left w:val="single" w:color="auto" w:sz="4" w:space="0"/>
                    <w:right w:val="single" w:color="auto" w:sz="4" w:space="0"/>
                  </w:tcBorders>
                  <w:vAlign w:val="center"/>
                </w:tcPr>
                <w:p>
                  <w:pPr>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左岸</w:t>
                  </w:r>
                </w:p>
              </w:tc>
              <w:tc>
                <w:tcPr>
                  <w:tcW w:w="1596" w:type="pct"/>
                  <w:tcBorders>
                    <w:top w:val="single" w:color="auto" w:sz="4" w:space="0"/>
                    <w:left w:val="single" w:color="auto" w:sz="4" w:space="0"/>
                    <w:right w:val="single" w:color="000000" w:sz="4" w:space="0"/>
                  </w:tcBorders>
                  <w:vAlign w:val="center"/>
                </w:tcPr>
                <w:p>
                  <w:pPr>
                    <w:widowControl/>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右岸</w:t>
                  </w:r>
                </w:p>
              </w:tc>
              <w:tc>
                <w:tcPr>
                  <w:tcW w:w="706" w:type="pct"/>
                  <w:vMerge w:val="continue"/>
                  <w:tcBorders>
                    <w:left w:val="single" w:color="auto" w:sz="4" w:space="0"/>
                    <w:right w:val="single" w:color="000000" w:sz="4" w:space="0"/>
                  </w:tcBorders>
                  <w:vAlign w:val="center"/>
                </w:tcPr>
                <w:p>
                  <w:pPr>
                    <w:widowControl/>
                    <w:jc w:val="center"/>
                    <w:textAlignment w:val="center"/>
                    <w:rPr>
                      <w:rFonts w:hint="default" w:ascii="Times New Roman" w:hAnsi="Times New Roman" w:cs="Times New Roman"/>
                      <w:color w:val="auto"/>
                      <w:sz w:val="21"/>
                      <w:szCs w:val="21"/>
                    </w:rPr>
                  </w:pPr>
                </w:p>
              </w:tc>
              <w:tc>
                <w:tcPr>
                  <w:tcW w:w="659" w:type="pct"/>
                  <w:vMerge w:val="continue"/>
                  <w:tcBorders>
                    <w:left w:val="single" w:color="auto" w:sz="4" w:space="0"/>
                    <w:right w:val="single" w:color="000000" w:sz="4" w:space="0"/>
                  </w:tcBorders>
                  <w:vAlign w:val="center"/>
                </w:tcPr>
                <w:p>
                  <w:pPr>
                    <w:widowControl/>
                    <w:jc w:val="center"/>
                    <w:textAlignment w:val="center"/>
                    <w:rPr>
                      <w:rFonts w:hint="default" w:ascii="Times New Roman" w:hAnsi="Times New Roman" w:cs="Times New Roman"/>
                      <w:color w:val="auto"/>
                      <w:sz w:val="21"/>
                      <w:szCs w:val="21"/>
                    </w:rPr>
                  </w:pPr>
                </w:p>
              </w:tc>
            </w:tr>
            <w:tr>
              <w:tblPrEx>
                <w:tblCellMar>
                  <w:top w:w="0" w:type="dxa"/>
                  <w:left w:w="0" w:type="dxa"/>
                  <w:bottom w:w="0" w:type="dxa"/>
                  <w:right w:w="0" w:type="dxa"/>
                </w:tblCellMar>
              </w:tblPrEx>
              <w:trPr>
                <w:trHeight w:val="23" w:hRule="atLeast"/>
                <w:jc w:val="center"/>
              </w:trPr>
              <w:tc>
                <w:tcPr>
                  <w:tcW w:w="8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临时施工区</w:t>
                  </w:r>
                  <w:r>
                    <w:rPr>
                      <w:rFonts w:hint="default" w:ascii="Times New Roman" w:hAnsi="Times New Roman" w:cs="Times New Roman"/>
                      <w:color w:val="auto"/>
                      <w:kern w:val="0"/>
                      <w:sz w:val="21"/>
                      <w:szCs w:val="21"/>
                      <w:lang w:val="en-US" w:eastAsia="zh-CN"/>
                    </w:rPr>
                    <w:t>1#</w:t>
                  </w:r>
                </w:p>
              </w:tc>
              <w:tc>
                <w:tcPr>
                  <w:tcW w:w="1175" w:type="pc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K0-000左岸30m处</w:t>
                  </w:r>
                </w:p>
              </w:tc>
              <w:tc>
                <w:tcPr>
                  <w:tcW w:w="1596" w:type="pct"/>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6" w:type="pc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空地</w:t>
                  </w:r>
                </w:p>
              </w:tc>
              <w:tc>
                <w:tcPr>
                  <w:tcW w:w="659" w:type="pc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无植被</w:t>
                  </w:r>
                </w:p>
              </w:tc>
            </w:tr>
            <w:tr>
              <w:tblPrEx>
                <w:tblCellMar>
                  <w:top w:w="0" w:type="dxa"/>
                  <w:left w:w="0" w:type="dxa"/>
                  <w:bottom w:w="0" w:type="dxa"/>
                  <w:right w:w="0" w:type="dxa"/>
                </w:tblCellMar>
              </w:tblPrEx>
              <w:trPr>
                <w:trHeight w:val="339" w:hRule="atLeast"/>
                <w:jc w:val="center"/>
              </w:trPr>
              <w:tc>
                <w:tcPr>
                  <w:tcW w:w="8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临时施工区</w:t>
                  </w:r>
                  <w:r>
                    <w:rPr>
                      <w:rFonts w:hint="default" w:ascii="Times New Roman" w:hAnsi="Times New Roman" w:cs="Times New Roman"/>
                      <w:color w:val="auto"/>
                      <w:kern w:val="0"/>
                      <w:sz w:val="21"/>
                      <w:szCs w:val="21"/>
                      <w:lang w:val="en-US" w:eastAsia="zh-CN"/>
                    </w:rPr>
                    <w:t>2#</w:t>
                  </w:r>
                </w:p>
              </w:tc>
              <w:tc>
                <w:tcPr>
                  <w:tcW w:w="1175" w:type="pc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96" w:type="pct"/>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K1+</w:t>
                  </w:r>
                  <w:r>
                    <w:rPr>
                      <w:rFonts w:hint="default" w:ascii="Times New Roman" w:hAnsi="Times New Roman" w:cs="Times New Roman"/>
                      <w:color w:val="auto"/>
                      <w:sz w:val="21"/>
                      <w:szCs w:val="21"/>
                      <w:lang w:val="en-US" w:eastAsia="zh-CN"/>
                    </w:rPr>
                    <w:t>140</w:t>
                  </w:r>
                  <w:r>
                    <w:rPr>
                      <w:rFonts w:hint="default" w:ascii="Times New Roman" w:hAnsi="Times New Roman" w:cs="Times New Roman"/>
                      <w:color w:val="auto"/>
                      <w:sz w:val="21"/>
                      <w:szCs w:val="21"/>
                    </w:rPr>
                    <w:t>-k1+1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右岸3m处</w:t>
                  </w:r>
                </w:p>
              </w:tc>
              <w:tc>
                <w:tcPr>
                  <w:tcW w:w="706" w:type="pc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其他草地</w:t>
                  </w:r>
                </w:p>
              </w:tc>
              <w:tc>
                <w:tcPr>
                  <w:tcW w:w="659" w:type="pct"/>
                  <w:vMerge w:val="restart"/>
                  <w:tcBorders>
                    <w:top w:val="single" w:color="000000" w:sz="4" w:space="0"/>
                    <w:left w:val="single" w:color="auto" w:sz="4" w:space="0"/>
                    <w:right w:val="single" w:color="000000" w:sz="4" w:space="0"/>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以</w:t>
                  </w:r>
                  <w:r>
                    <w:rPr>
                      <w:rFonts w:hint="default" w:ascii="Times New Roman" w:hAnsi="Times New Roman" w:cs="Times New Roman"/>
                      <w:color w:val="auto"/>
                      <w:sz w:val="21"/>
                      <w:szCs w:val="21"/>
                      <w:lang w:val="en-US" w:eastAsia="zh-CN"/>
                    </w:rPr>
                    <w:t>紫花针茅、蒿类、灰条草、苣荬菜</w:t>
                  </w:r>
                  <w:r>
                    <w:rPr>
                      <w:rFonts w:hint="default" w:ascii="Times New Roman" w:hAnsi="Times New Roman" w:cs="Times New Roman"/>
                      <w:color w:val="auto"/>
                      <w:sz w:val="21"/>
                      <w:szCs w:val="21"/>
                    </w:rPr>
                    <w:t>为主</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植被覆盖率5-10%</w:t>
                  </w:r>
                </w:p>
              </w:tc>
            </w:tr>
            <w:tr>
              <w:tblPrEx>
                <w:tblCellMar>
                  <w:top w:w="0" w:type="dxa"/>
                  <w:left w:w="0" w:type="dxa"/>
                  <w:bottom w:w="0" w:type="dxa"/>
                  <w:right w:w="0" w:type="dxa"/>
                </w:tblCellMar>
              </w:tblPrEx>
              <w:trPr>
                <w:trHeight w:val="23" w:hRule="atLeast"/>
                <w:jc w:val="center"/>
              </w:trPr>
              <w:tc>
                <w:tcPr>
                  <w:tcW w:w="8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施工营地</w:t>
                  </w:r>
                </w:p>
              </w:tc>
              <w:tc>
                <w:tcPr>
                  <w:tcW w:w="1175" w:type="pc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96" w:type="pct"/>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K1+110-K1+140处右岸3m处</w:t>
                  </w:r>
                </w:p>
              </w:tc>
              <w:tc>
                <w:tcPr>
                  <w:tcW w:w="706" w:type="pct"/>
                  <w:tcBorders>
                    <w:top w:val="single" w:color="000000" w:sz="4" w:space="0"/>
                    <w:left w:val="single" w:color="auto" w:sz="4" w:space="0"/>
                    <w:bottom w:val="single" w:color="000000" w:sz="4" w:space="0"/>
                    <w:right w:val="single" w:color="000000"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其他</w:t>
                  </w:r>
                  <w:r>
                    <w:rPr>
                      <w:rFonts w:hint="default" w:ascii="Times New Roman" w:hAnsi="Times New Roman" w:cs="Times New Roman"/>
                      <w:color w:val="auto"/>
                      <w:sz w:val="21"/>
                      <w:szCs w:val="21"/>
                    </w:rPr>
                    <w:t>草地</w:t>
                  </w:r>
                </w:p>
              </w:tc>
              <w:tc>
                <w:tcPr>
                  <w:tcW w:w="659" w:type="pct"/>
                  <w:vMerge w:val="continue"/>
                  <w:tcBorders>
                    <w:left w:val="single" w:color="auto"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1"/>
                      <w:szCs w:val="21"/>
                    </w:rPr>
                  </w:pPr>
                </w:p>
              </w:tc>
            </w:tr>
          </w:tbl>
          <w:p>
            <w:pPr>
              <w:pStyle w:val="3"/>
              <w:rPr>
                <w:rFonts w:hint="default" w:ascii="Times New Roman" w:hAnsi="Times New Roman" w:cs="Times New Roman"/>
                <w:color w:val="auto"/>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6"/>
              <w:gridCol w:w="3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1" w:hRule="atLeast"/>
              </w:trPr>
              <w:tc>
                <w:tcPr>
                  <w:tcW w:w="3955" w:type="dxa"/>
                </w:tcPr>
                <w:p>
                  <w:pPr>
                    <w:pStyle w:val="3"/>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2423160" cy="1810385"/>
                        <wp:effectExtent l="0" t="0" r="15240" b="1841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1"/>
                                <a:stretch>
                                  <a:fillRect/>
                                </a:stretch>
                              </pic:blipFill>
                              <pic:spPr>
                                <a:xfrm>
                                  <a:off x="0" y="0"/>
                                  <a:ext cx="2423160" cy="1810385"/>
                                </a:xfrm>
                                <a:prstGeom prst="rect">
                                  <a:avLst/>
                                </a:prstGeom>
                                <a:noFill/>
                                <a:ln>
                                  <a:noFill/>
                                </a:ln>
                              </pic:spPr>
                            </pic:pic>
                          </a:graphicData>
                        </a:graphic>
                      </wp:inline>
                    </w:drawing>
                  </w:r>
                </w:p>
              </w:tc>
              <w:tc>
                <w:tcPr>
                  <w:tcW w:w="3900" w:type="dxa"/>
                </w:tcPr>
                <w:p>
                  <w:pPr>
                    <w:pStyle w:val="3"/>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2435225" cy="1811020"/>
                        <wp:effectExtent l="0" t="0" r="3175" b="1778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2"/>
                                <a:stretch>
                                  <a:fillRect/>
                                </a:stretch>
                              </pic:blipFill>
                              <pic:spPr>
                                <a:xfrm>
                                  <a:off x="0" y="0"/>
                                  <a:ext cx="2435225" cy="1811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955" w:type="dxa"/>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1#施工工区，位于排洪渠起点左岸30m处，占地类型为空地</w:t>
                  </w:r>
                </w:p>
              </w:tc>
              <w:tc>
                <w:tcPr>
                  <w:tcW w:w="3900" w:type="dxa"/>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施工营地，位于</w:t>
                  </w:r>
                  <w:r>
                    <w:rPr>
                      <w:rFonts w:hint="default" w:ascii="Times New Roman" w:hAnsi="Times New Roman" w:cs="Times New Roman"/>
                      <w:b/>
                      <w:bCs/>
                      <w:color w:val="auto"/>
                      <w:sz w:val="21"/>
                      <w:szCs w:val="21"/>
                    </w:rPr>
                    <w:t>K1+</w:t>
                  </w:r>
                  <w:r>
                    <w:rPr>
                      <w:rFonts w:hint="default" w:ascii="Times New Roman" w:hAnsi="Times New Roman" w:cs="Times New Roman"/>
                      <w:b/>
                      <w:bCs/>
                      <w:color w:val="auto"/>
                      <w:sz w:val="21"/>
                      <w:szCs w:val="21"/>
                      <w:lang w:val="en-US" w:eastAsia="zh-CN"/>
                    </w:rPr>
                    <w:t>140</w:t>
                  </w:r>
                  <w:r>
                    <w:rPr>
                      <w:rFonts w:hint="default" w:ascii="Times New Roman" w:hAnsi="Times New Roman" w:cs="Times New Roman"/>
                      <w:b/>
                      <w:bCs/>
                      <w:color w:val="auto"/>
                      <w:sz w:val="21"/>
                      <w:szCs w:val="21"/>
                    </w:rPr>
                    <w:t>-k1+1</w:t>
                  </w:r>
                  <w:r>
                    <w:rPr>
                      <w:rFonts w:hint="default"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0</w:t>
                  </w:r>
                  <w:r>
                    <w:rPr>
                      <w:rFonts w:hint="default" w:ascii="Times New Roman" w:hAnsi="Times New Roman" w:cs="Times New Roman"/>
                      <w:b/>
                      <w:bCs/>
                      <w:color w:val="auto"/>
                      <w:sz w:val="21"/>
                      <w:szCs w:val="21"/>
                      <w:lang w:val="en-US" w:eastAsia="zh-CN"/>
                    </w:rPr>
                    <w:t>右岸3m处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trPr>
              <w:tc>
                <w:tcPr>
                  <w:tcW w:w="3955"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drawing>
                      <wp:inline distT="0" distB="0" distL="114300" distR="114300">
                        <wp:extent cx="2397760" cy="1792605"/>
                        <wp:effectExtent l="0" t="0" r="2540" b="1714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3"/>
                                <a:stretch>
                                  <a:fillRect/>
                                </a:stretch>
                              </pic:blipFill>
                              <pic:spPr>
                                <a:xfrm>
                                  <a:off x="0" y="0"/>
                                  <a:ext cx="2397760" cy="1792605"/>
                                </a:xfrm>
                                <a:prstGeom prst="rect">
                                  <a:avLst/>
                                </a:prstGeom>
                                <a:noFill/>
                                <a:ln>
                                  <a:noFill/>
                                </a:ln>
                              </pic:spPr>
                            </pic:pic>
                          </a:graphicData>
                        </a:graphic>
                      </wp:inline>
                    </w:drawing>
                  </w:r>
                </w:p>
              </w:tc>
              <w:tc>
                <w:tcPr>
                  <w:tcW w:w="3900"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2#施工工区，位于K1+140-k1+170右岸3m处</w:t>
                  </w:r>
                </w:p>
              </w:tc>
            </w:tr>
          </w:tbl>
          <w:p>
            <w:pPr>
              <w:pStyle w:val="3"/>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57"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施</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工</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方</w:t>
            </w:r>
          </w:p>
          <w:p>
            <w:pPr>
              <w:adjustRightInd w:val="0"/>
              <w:snapToGrid w:val="0"/>
              <w:spacing w:line="360" w:lineRule="auto"/>
              <w:jc w:val="center"/>
              <w:rPr>
                <w:rFonts w:hint="default" w:ascii="Times New Roman" w:hAnsi="Times New Roman" w:cs="Times New Roman"/>
                <w:color w:val="auto"/>
                <w:kern w:val="0"/>
              </w:rPr>
            </w:pPr>
            <w:r>
              <w:rPr>
                <w:rFonts w:hint="default" w:ascii="Times New Roman" w:hAnsi="Times New Roman" w:cs="Times New Roman"/>
                <w:b/>
                <w:bCs/>
                <w:color w:val="auto"/>
                <w:kern w:val="0"/>
              </w:rPr>
              <w:t>案</w:t>
            </w:r>
          </w:p>
        </w:tc>
        <w:tc>
          <w:tcPr>
            <w:tcW w:w="8063" w:type="dxa"/>
            <w:vAlign w:val="center"/>
          </w:tcPr>
          <w:p>
            <w:pPr>
              <w:adjustRightInd w:val="0"/>
              <w:snapToGrid w:val="0"/>
              <w:spacing w:beforeLines="50"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1、施工工艺</w:t>
            </w:r>
          </w:p>
          <w:p>
            <w:pPr>
              <w:adjustRightInd w:val="0"/>
              <w:snapToGrid w:val="0"/>
              <w:spacing w:line="360" w:lineRule="auto"/>
              <w:ind w:firstLine="482" w:firstLineChars="200"/>
              <w:rPr>
                <w:rFonts w:hint="default" w:ascii="Times New Roman" w:hAnsi="Times New Roman" w:cs="Times New Roman"/>
                <w:b/>
                <w:bCs/>
                <w:color w:val="auto"/>
                <w:kern w:val="0"/>
              </w:rPr>
            </w:pPr>
            <w:r>
              <w:rPr>
                <w:rFonts w:hint="default" w:ascii="Times New Roman" w:hAnsi="Times New Roman" w:cs="Times New Roman"/>
                <w:b/>
                <w:bCs/>
                <w:color w:val="auto"/>
                <w:kern w:val="0"/>
              </w:rPr>
              <w:t>（1）施工准备阶段</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lang w:val="zh-CN"/>
              </w:rPr>
              <w:t>为保证堤防工程顺利施工，</w:t>
            </w:r>
            <w:r>
              <w:rPr>
                <w:rFonts w:hint="default" w:ascii="Times New Roman" w:hAnsi="Times New Roman" w:cs="Times New Roman"/>
                <w:color w:val="auto"/>
                <w:lang w:val="en-US" w:eastAsia="zh-CN"/>
              </w:rPr>
              <w:t>与当地村民沟通，利用田间小道作为施工期间的临时道路；确定施工工区及施工营地。</w:t>
            </w:r>
            <w:r>
              <w:rPr>
                <w:rFonts w:hint="default" w:ascii="Times New Roman" w:hAnsi="Times New Roman" w:cs="Times New Roman"/>
                <w:color w:val="auto"/>
                <w:spacing w:val="-14"/>
              </w:rPr>
              <w:t>项目区沟道属于季节性河道，除夏季洪水来临时有水，其余季节均属于干沟</w:t>
            </w:r>
            <w:r>
              <w:rPr>
                <w:rFonts w:hint="default" w:ascii="Times New Roman" w:hAnsi="Times New Roman" w:cs="Times New Roman"/>
                <w:color w:val="auto"/>
                <w:spacing w:val="-14"/>
                <w:lang w:eastAsia="zh-CN"/>
              </w:rPr>
              <w:t>，</w:t>
            </w:r>
            <w:r>
              <w:rPr>
                <w:rFonts w:hint="default" w:ascii="Times New Roman" w:hAnsi="Times New Roman" w:cs="Times New Roman"/>
                <w:color w:val="auto"/>
                <w:lang w:val="en-US" w:eastAsia="zh-CN"/>
              </w:rPr>
              <w:t>因此，施工期间不需要导流。</w:t>
            </w:r>
          </w:p>
          <w:p>
            <w:pPr>
              <w:spacing w:line="360" w:lineRule="auto"/>
              <w:ind w:firstLine="482" w:firstLineChars="200"/>
              <w:rPr>
                <w:rFonts w:hint="default" w:ascii="Times New Roman" w:hAnsi="Times New Roman" w:cs="Times New Roman"/>
                <w:b/>
                <w:bCs/>
                <w:color w:val="auto"/>
                <w:lang w:val="zh-CN"/>
              </w:rPr>
            </w:pPr>
            <w:r>
              <w:rPr>
                <w:rFonts w:hint="default" w:ascii="Times New Roman" w:hAnsi="Times New Roman" w:cs="Times New Roman"/>
                <w:b/>
                <w:bCs/>
                <w:color w:val="auto"/>
                <w:lang w:val="zh-CN"/>
              </w:rPr>
              <w:t>（2）</w:t>
            </w:r>
            <w:r>
              <w:rPr>
                <w:rFonts w:hint="default" w:ascii="Times New Roman" w:hAnsi="Times New Roman" w:cs="Times New Roman"/>
                <w:b/>
                <w:bCs/>
                <w:color w:val="auto"/>
                <w:kern w:val="0"/>
              </w:rPr>
              <w:t>主体工程阶段</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主体工程阶段包括土石方开挖、土石方填筑、</w:t>
            </w:r>
            <w:r>
              <w:rPr>
                <w:rFonts w:hint="default" w:ascii="Times New Roman" w:hAnsi="Times New Roman" w:cs="Times New Roman"/>
                <w:color w:val="auto"/>
                <w:kern w:val="0"/>
                <w:lang w:val="en-US" w:eastAsia="zh-CN"/>
              </w:rPr>
              <w:t>排洪渠浇筑、防洪堤浇筑</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谷坊、护栏、防冲坎</w:t>
            </w:r>
            <w:r>
              <w:rPr>
                <w:rFonts w:hint="default" w:ascii="Times New Roman" w:hAnsi="Times New Roman" w:cs="Times New Roman"/>
                <w:color w:val="auto"/>
                <w:kern w:val="0"/>
              </w:rPr>
              <w:t>等工程的</w:t>
            </w:r>
            <w:r>
              <w:rPr>
                <w:rFonts w:hint="default" w:ascii="Times New Roman" w:hAnsi="Times New Roman" w:cs="Times New Roman"/>
                <w:color w:val="auto"/>
                <w:kern w:val="0"/>
                <w:lang w:val="en-US" w:eastAsia="zh-CN"/>
              </w:rPr>
              <w:t>建设</w:t>
            </w:r>
            <w:r>
              <w:rPr>
                <w:rFonts w:hint="default" w:ascii="Times New Roman" w:hAnsi="Times New Roman" w:cs="Times New Roman"/>
                <w:color w:val="auto"/>
                <w:kern w:val="0"/>
              </w:rPr>
              <w:t>。</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①土石方开挖</w:t>
            </w:r>
          </w:p>
          <w:p>
            <w:pPr>
              <w:spacing w:line="360" w:lineRule="auto"/>
              <w:ind w:firstLine="464" w:firstLineChars="200"/>
              <w:rPr>
                <w:rFonts w:hint="default" w:ascii="Times New Roman" w:hAnsi="Times New Roman" w:cs="Times New Roman"/>
                <w:color w:val="auto"/>
                <w:lang w:val="zh-CN"/>
              </w:rPr>
            </w:pPr>
            <w:r>
              <w:rPr>
                <w:rFonts w:hint="default" w:ascii="Times New Roman" w:hAnsi="Times New Roman" w:cs="Times New Roman"/>
                <w:color w:val="auto"/>
                <w:spacing w:val="-4"/>
              </w:rPr>
              <w:t xml:space="preserve">土石方开挖以机械为主，人力配合为辅。清基时要做好基础面平整夯实工作，采用 </w:t>
            </w:r>
            <w:r>
              <w:rPr>
                <w:rFonts w:hint="default" w:ascii="Times New Roman" w:hAnsi="Times New Roman" w:eastAsia="Times New Roman" w:cs="Times New Roman"/>
                <w:color w:val="auto"/>
              </w:rPr>
              <w:t>1m</w:t>
            </w:r>
            <w:r>
              <w:rPr>
                <w:rFonts w:hint="default" w:ascii="Times New Roman" w:hAnsi="Times New Roman" w:eastAsia="Times New Roman" w:cs="Times New Roman"/>
                <w:color w:val="auto"/>
                <w:position w:val="8"/>
                <w:sz w:val="15"/>
              </w:rPr>
              <w:t xml:space="preserve">3 </w:t>
            </w:r>
            <w:r>
              <w:rPr>
                <w:rFonts w:hint="default" w:ascii="Times New Roman" w:hAnsi="Times New Roman" w:cs="Times New Roman"/>
                <w:color w:val="auto"/>
              </w:rPr>
              <w:t>液压反铲向基坑内外挖甩</w:t>
            </w:r>
            <w:r>
              <w:rPr>
                <w:rFonts w:hint="default" w:ascii="Times New Roman" w:hAnsi="Times New Roman" w:cs="Times New Roman"/>
                <w:color w:val="auto"/>
                <w:lang w:val="zh-CN"/>
              </w:rPr>
              <w:t>。</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②</w:t>
            </w:r>
            <w:r>
              <w:rPr>
                <w:rFonts w:hint="default" w:ascii="Times New Roman" w:hAnsi="Times New Roman" w:cs="Times New Roman"/>
                <w:color w:val="auto"/>
                <w:kern w:val="0"/>
                <w:lang w:val="en-US" w:eastAsia="zh-CN"/>
              </w:rPr>
              <w:t>混凝土</w:t>
            </w:r>
            <w:r>
              <w:rPr>
                <w:rFonts w:hint="default" w:ascii="Times New Roman" w:hAnsi="Times New Roman" w:cs="Times New Roman"/>
                <w:color w:val="auto"/>
                <w:kern w:val="0"/>
              </w:rPr>
              <w:t>工程</w:t>
            </w:r>
          </w:p>
          <w:p>
            <w:pPr>
              <w:spacing w:line="360" w:lineRule="auto"/>
              <w:ind w:firstLine="480" w:firstLineChars="200"/>
              <w:rPr>
                <w:rFonts w:hint="default" w:ascii="Times New Roman" w:hAnsi="Times New Roman" w:cs="Times New Roman"/>
                <w:color w:val="auto"/>
              </w:rPr>
            </w:pPr>
            <w:r>
              <w:rPr>
                <w:rFonts w:hint="eastAsia" w:cs="Times New Roman"/>
                <w:color w:val="auto"/>
                <w:lang w:val="en-US" w:eastAsia="zh-CN"/>
              </w:rPr>
              <w:t>工程购买商品混凝土，不在现场拌合，商砼车在现场</w:t>
            </w:r>
            <w:r>
              <w:rPr>
                <w:rFonts w:hint="default" w:ascii="Times New Roman" w:hAnsi="Times New Roman" w:cs="Times New Roman"/>
                <w:color w:val="auto"/>
              </w:rPr>
              <w:t>一次性浇筑到位。</w:t>
            </w:r>
            <w:r>
              <w:rPr>
                <w:rFonts w:hint="default" w:ascii="Times New Roman" w:hAnsi="Times New Roman" w:cs="Times New Roman"/>
                <w:color w:val="auto"/>
              </w:rPr>
              <w:t>在浇筑混凝土前应先在基础铺10cm厚的C20混凝土作为垫层，浇筑时可分层下料、振捣，振捣器采用φ50软轴式振捣器，以免在振捣时，碰撞到模板，造成模板移位和跑模。在浇筑完成后18h内应连续充分洒水养护，养护时间不少于28d。</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lang w:val="en-US" w:eastAsia="zh-CN"/>
              </w:rPr>
              <w:t>③</w:t>
            </w:r>
            <w:r>
              <w:rPr>
                <w:rFonts w:hint="default" w:ascii="Times New Roman" w:hAnsi="Times New Roman" w:cs="Times New Roman"/>
                <w:color w:val="auto"/>
                <w:kern w:val="0"/>
              </w:rPr>
              <w:t>土石方填筑</w:t>
            </w:r>
          </w:p>
          <w:p>
            <w:pPr>
              <w:spacing w:line="360" w:lineRule="auto"/>
              <w:ind w:firstLine="480" w:firstLineChars="200"/>
              <w:rPr>
                <w:rFonts w:hint="default" w:ascii="Times New Roman" w:hAnsi="Times New Roman" w:cs="Times New Roman"/>
                <w:color w:val="auto"/>
                <w:lang w:val="zh-CN"/>
              </w:rPr>
            </w:pPr>
            <w:r>
              <w:rPr>
                <w:rFonts w:hint="default" w:ascii="Times New Roman" w:hAnsi="Times New Roman" w:cs="Times New Roman"/>
                <w:color w:val="auto"/>
                <w:lang w:val="zh-CN"/>
              </w:rPr>
              <w:t>基础基坑回填直接用推土机或挖掘机将土体回填到基坑，并利用推土机或挖掘机进行表土碾压。</w:t>
            </w:r>
          </w:p>
          <w:p>
            <w:pPr>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2、施工材料</w:t>
            </w:r>
          </w:p>
          <w:p>
            <w:pPr>
              <w:adjustRightInd w:val="0"/>
              <w:snapToGrid w:val="0"/>
              <w:spacing w:line="360" w:lineRule="auto"/>
              <w:ind w:firstLine="480" w:firstLineChars="200"/>
              <w:rPr>
                <w:rFonts w:hint="default" w:ascii="Times New Roman" w:hAnsi="Times New Roman" w:cs="Times New Roman"/>
                <w:color w:val="auto"/>
                <w:kern w:val="0"/>
                <w:vertAlign w:val="superscript"/>
              </w:rPr>
            </w:pPr>
            <w:r>
              <w:rPr>
                <w:rFonts w:hint="default" w:ascii="Times New Roman" w:hAnsi="Times New Roman" w:cs="Times New Roman"/>
                <w:color w:val="auto"/>
                <w:kern w:val="0"/>
              </w:rPr>
              <w:t>本工程主要材料来源及用量如下表所示。</w:t>
            </w:r>
          </w:p>
          <w:p>
            <w:pPr>
              <w:adjustRightInd w:val="0"/>
              <w:snapToGrid w:val="0"/>
              <w:jc w:val="center"/>
              <w:rPr>
                <w:rFonts w:hint="default" w:ascii="Times New Roman" w:hAnsi="Times New Roman" w:cs="Times New Roman"/>
                <w:b/>
                <w:color w:val="auto"/>
                <w:kern w:val="0"/>
              </w:rPr>
            </w:pPr>
            <w:r>
              <w:rPr>
                <w:rFonts w:hint="default" w:ascii="Times New Roman" w:hAnsi="Times New Roman" w:cs="Times New Roman"/>
                <w:b/>
                <w:color w:val="auto"/>
                <w:kern w:val="0"/>
              </w:rPr>
              <w:t>表2-7  工程主要材料一览表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7"/>
              <w:gridCol w:w="1185"/>
              <w:gridCol w:w="2244"/>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762" w:type="pct"/>
                  <w:vAlign w:val="center"/>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单位</w:t>
                  </w:r>
                </w:p>
              </w:tc>
              <w:tc>
                <w:tcPr>
                  <w:tcW w:w="1443" w:type="pct"/>
                  <w:vAlign w:val="center"/>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用量</w:t>
                  </w:r>
                </w:p>
              </w:tc>
              <w:tc>
                <w:tcPr>
                  <w:tcW w:w="898" w:type="pct"/>
                  <w:vAlign w:val="center"/>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水泥</w:t>
                  </w:r>
                </w:p>
              </w:tc>
              <w:tc>
                <w:tcPr>
                  <w:tcW w:w="762" w:type="pct"/>
                  <w:vAlign w:val="center"/>
                </w:tcPr>
                <w:p>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t</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w:t>
                  </w:r>
                  <w:r>
                    <w:rPr>
                      <w:rFonts w:hint="default" w:ascii="Times New Roman" w:hAnsi="Times New Roman" w:cs="Times New Roman"/>
                      <w:color w:val="auto"/>
                      <w:kern w:val="0"/>
                      <w:sz w:val="21"/>
                      <w:szCs w:val="21"/>
                      <w:lang w:val="en-US" w:eastAsia="zh-CN"/>
                    </w:rPr>
                    <w:t>280.2</w:t>
                  </w:r>
                </w:p>
              </w:tc>
              <w:tc>
                <w:tcPr>
                  <w:tcW w:w="898" w:type="pct"/>
                  <w:vMerge w:val="restar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化隆</w:t>
                  </w:r>
                  <w:r>
                    <w:rPr>
                      <w:rFonts w:hint="eastAsia" w:cs="Times New Roman"/>
                      <w:color w:val="auto"/>
                      <w:kern w:val="0"/>
                      <w:sz w:val="21"/>
                      <w:szCs w:val="21"/>
                      <w:lang w:val="en-US" w:eastAsia="zh-CN"/>
                    </w:rPr>
                    <w:t>县</w:t>
                  </w:r>
                  <w:r>
                    <w:rPr>
                      <w:rFonts w:hint="default" w:ascii="Times New Roman" w:hAnsi="Times New Roman" w:cs="Times New Roman"/>
                      <w:color w:val="auto"/>
                      <w:kern w:val="0"/>
                      <w:sz w:val="21"/>
                      <w:szCs w:val="21"/>
                      <w:lang w:val="en-US" w:eastAsia="zh-CN"/>
                    </w:rPr>
                    <w:t>就近购买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砂子</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2133.7</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vertAlign w:val="superscript"/>
                      <w:lang w:val="en-US" w:eastAsia="zh-CN"/>
                    </w:rPr>
                  </w:pPr>
                  <w:r>
                    <w:rPr>
                      <w:rFonts w:hint="default" w:ascii="Times New Roman" w:hAnsi="Times New Roman" w:cs="Times New Roman"/>
                      <w:color w:val="auto"/>
                      <w:kern w:val="0"/>
                      <w:sz w:val="21"/>
                      <w:szCs w:val="21"/>
                      <w:vertAlign w:val="baseline"/>
                      <w:lang w:val="en-US" w:eastAsia="zh-CN"/>
                    </w:rPr>
                    <w:t>砾石</w:t>
                  </w:r>
                </w:p>
              </w:tc>
              <w:tc>
                <w:tcPr>
                  <w:tcW w:w="762"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3414</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砂砾石</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1664.9</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商品</w:t>
                  </w:r>
                  <w:r>
                    <w:rPr>
                      <w:rFonts w:hint="default" w:ascii="Times New Roman" w:hAnsi="Times New Roman" w:cs="Times New Roman"/>
                      <w:color w:val="auto"/>
                      <w:kern w:val="0"/>
                      <w:sz w:val="21"/>
                      <w:szCs w:val="21"/>
                      <w:lang w:val="en-US" w:eastAsia="zh-CN"/>
                    </w:rPr>
                    <w:t>混凝土</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15773</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钢筋</w:t>
                  </w:r>
                </w:p>
              </w:tc>
              <w:tc>
                <w:tcPr>
                  <w:tcW w:w="762" w:type="pct"/>
                  <w:vAlign w:val="center"/>
                </w:tcPr>
                <w:p>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t</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244</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pacing w:val="-4"/>
                      <w:sz w:val="18"/>
                    </w:rPr>
                    <w:t>砂砾石垫</w:t>
                  </w:r>
                  <w:r>
                    <w:rPr>
                      <w:rFonts w:hint="default" w:ascii="Times New Roman" w:hAnsi="Times New Roman" w:eastAsia="宋体" w:cs="Times New Roman"/>
                      <w:color w:val="auto"/>
                      <w:spacing w:val="-10"/>
                      <w:sz w:val="18"/>
                    </w:rPr>
                    <w:t>层</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3836.8</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木材</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48.1</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沥青杉板</w:t>
                  </w:r>
                </w:p>
              </w:tc>
              <w:tc>
                <w:tcPr>
                  <w:tcW w:w="762" w:type="pc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44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255</w:t>
                  </w:r>
                </w:p>
              </w:tc>
              <w:tc>
                <w:tcPr>
                  <w:tcW w:w="898" w:type="pct"/>
                  <w:vMerge w:val="continue"/>
                  <w:vAlign w:val="center"/>
                </w:tcPr>
                <w:p>
                  <w:pPr>
                    <w:adjustRightInd w:val="0"/>
                    <w:snapToGrid w:val="0"/>
                    <w:jc w:val="center"/>
                    <w:rPr>
                      <w:rFonts w:hint="default" w:ascii="Times New Roman" w:hAnsi="Times New Roman" w:cs="Times New Roman"/>
                      <w:color w:val="auto"/>
                      <w:kern w:val="0"/>
                      <w:sz w:val="21"/>
                      <w:szCs w:val="21"/>
                    </w:rPr>
                  </w:pPr>
                </w:p>
              </w:tc>
            </w:tr>
          </w:tbl>
          <w:p>
            <w:pPr>
              <w:adjustRightInd w:val="0"/>
              <w:snapToGrid w:val="0"/>
              <w:spacing w:beforeLines="50"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3、施工人员</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本工程施工人员均从当地雇佣，施工人数</w:t>
            </w:r>
            <w:r>
              <w:rPr>
                <w:rFonts w:hint="default" w:ascii="Times New Roman" w:hAnsi="Times New Roman" w:cs="Times New Roman"/>
                <w:color w:val="auto"/>
                <w:kern w:val="0"/>
                <w:lang w:val="en-US" w:eastAsia="zh-CN"/>
              </w:rPr>
              <w:t>30</w:t>
            </w:r>
            <w:r>
              <w:rPr>
                <w:rFonts w:hint="default" w:ascii="Times New Roman" w:hAnsi="Times New Roman" w:cs="Times New Roman"/>
                <w:color w:val="auto"/>
                <w:kern w:val="0"/>
              </w:rPr>
              <w:t>人。</w:t>
            </w:r>
          </w:p>
          <w:p>
            <w:pPr>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4、施工时序</w:t>
            </w:r>
          </w:p>
          <w:p>
            <w:pPr>
              <w:adjustRightInd w:val="0"/>
              <w:snapToGrid w:val="0"/>
              <w:spacing w:line="360" w:lineRule="auto"/>
              <w:ind w:firstLine="48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rPr>
              <w:t>本工程施工时序如下表所示。</w:t>
            </w:r>
          </w:p>
          <w:p>
            <w:pPr>
              <w:adjustRightInd w:val="0"/>
              <w:snapToGrid w:val="0"/>
              <w:jc w:val="center"/>
              <w:rPr>
                <w:rFonts w:hint="default" w:ascii="Times New Roman" w:hAnsi="Times New Roman" w:cs="Times New Roman"/>
                <w:b/>
                <w:color w:val="auto"/>
                <w:kern w:val="0"/>
              </w:rPr>
            </w:pPr>
            <w:r>
              <w:rPr>
                <w:rFonts w:hint="default" w:ascii="Times New Roman" w:hAnsi="Times New Roman" w:cs="Times New Roman"/>
                <w:b/>
                <w:color w:val="auto"/>
                <w:kern w:val="0"/>
              </w:rPr>
              <w:t>表2-8  工程施工时序一览表</w:t>
            </w:r>
          </w:p>
          <w:tbl>
            <w:tblPr>
              <w:tblStyle w:val="23"/>
              <w:tblW w:w="4959" w:type="pct"/>
              <w:jc w:val="center"/>
              <w:tblLayout w:type="autofit"/>
              <w:tblCellMar>
                <w:top w:w="0" w:type="dxa"/>
                <w:left w:w="108" w:type="dxa"/>
                <w:bottom w:w="0" w:type="dxa"/>
                <w:right w:w="108" w:type="dxa"/>
              </w:tblCellMar>
            </w:tblPr>
            <w:tblGrid>
              <w:gridCol w:w="718"/>
              <w:gridCol w:w="1584"/>
              <w:gridCol w:w="800"/>
              <w:gridCol w:w="832"/>
              <w:gridCol w:w="747"/>
              <w:gridCol w:w="701"/>
              <w:gridCol w:w="691"/>
              <w:gridCol w:w="850"/>
              <w:gridCol w:w="876"/>
            </w:tblGrid>
            <w:tr>
              <w:tblPrEx>
                <w:tblCellMar>
                  <w:top w:w="0" w:type="dxa"/>
                  <w:left w:w="108" w:type="dxa"/>
                  <w:bottom w:w="0" w:type="dxa"/>
                  <w:right w:w="108" w:type="dxa"/>
                </w:tblCellMar>
              </w:tblPrEx>
              <w:trPr>
                <w:trHeight w:val="285" w:hRule="atLeast"/>
                <w:jc w:val="center"/>
              </w:trPr>
              <w:tc>
                <w:tcPr>
                  <w:tcW w:w="460" w:type="pct"/>
                  <w:vMerge w:val="restart"/>
                  <w:tcBorders>
                    <w:top w:val="single" w:color="auto" w:sz="6" w:space="0"/>
                    <w:left w:val="single" w:color="auto" w:sz="6" w:space="0"/>
                    <w:right w:val="single" w:color="auto" w:sz="6" w:space="0"/>
                  </w:tcBorders>
                  <w:vAlign w:val="center"/>
                </w:tcPr>
                <w:p>
                  <w:pPr>
                    <w:pStyle w:val="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15" w:type="pct"/>
                  <w:vMerge w:val="restart"/>
                  <w:tcBorders>
                    <w:top w:val="single" w:color="auto" w:sz="6" w:space="0"/>
                    <w:left w:val="single" w:color="auto" w:sz="6" w:space="0"/>
                    <w:right w:val="single" w:color="auto" w:sz="6" w:space="0"/>
                  </w:tcBorders>
                  <w:vAlign w:val="center"/>
                </w:tcPr>
                <w:p>
                  <w:pPr>
                    <w:pStyle w:val="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3523" w:type="pct"/>
                  <w:gridSpan w:val="7"/>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年</w:t>
                  </w:r>
                </w:p>
              </w:tc>
            </w:tr>
            <w:tr>
              <w:tblPrEx>
                <w:tblCellMar>
                  <w:top w:w="0" w:type="dxa"/>
                  <w:left w:w="108" w:type="dxa"/>
                  <w:bottom w:w="0" w:type="dxa"/>
                  <w:right w:w="108" w:type="dxa"/>
                </w:tblCellMar>
              </w:tblPrEx>
              <w:trPr>
                <w:trHeight w:val="285" w:hRule="atLeast"/>
                <w:jc w:val="center"/>
              </w:trPr>
              <w:tc>
                <w:tcPr>
                  <w:tcW w:w="460" w:type="pct"/>
                  <w:vMerge w:val="continue"/>
                  <w:tcBorders>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1015" w:type="pct"/>
                  <w:vMerge w:val="continue"/>
                  <w:tcBorders>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1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53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47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c>
                <w:tcPr>
                  <w:tcW w:w="44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w:t>
                  </w:r>
                </w:p>
              </w:tc>
              <w:tc>
                <w:tcPr>
                  <w:tcW w:w="44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4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5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r>
            <w:tr>
              <w:tblPrEx>
                <w:tblCellMar>
                  <w:top w:w="0" w:type="dxa"/>
                  <w:left w:w="108" w:type="dxa"/>
                  <w:bottom w:w="0" w:type="dxa"/>
                  <w:right w:w="108" w:type="dxa"/>
                </w:tblCellMar>
              </w:tblPrEx>
              <w:trPr>
                <w:trHeight w:val="285" w:hRule="atLeast"/>
                <w:jc w:val="center"/>
              </w:trPr>
              <w:tc>
                <w:tcPr>
                  <w:tcW w:w="4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1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施工准备</w:t>
                  </w:r>
                </w:p>
              </w:tc>
              <w:tc>
                <w:tcPr>
                  <w:tcW w:w="51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pict>
                      <v:line id="直接连接符 24" o:spid="_x0000_s1048" o:spt="20" style="position:absolute;left:0pt;margin-left:0.7pt;margin-top:7.9pt;height:0.05pt;width:32.2pt;z-index:251660288;mso-width-relative:page;mso-height-relative:page;" filled="f" stroked="t" coordsize="21600,21600">
                        <v:path arrowok="t"/>
                        <v:fill on="f" focussize="0,0"/>
                        <v:stroke weight="1.25pt" color="#000000"/>
                        <v:imagedata o:title=""/>
                        <o:lock v:ext="edit" aspectratio="f"/>
                      </v:line>
                    </w:pict>
                  </w:r>
                </w:p>
              </w:tc>
              <w:tc>
                <w:tcPr>
                  <w:tcW w:w="53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7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4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r>
            <w:tr>
              <w:tblPrEx>
                <w:tblCellMar>
                  <w:top w:w="0" w:type="dxa"/>
                  <w:left w:w="108" w:type="dxa"/>
                  <w:bottom w:w="0" w:type="dxa"/>
                  <w:right w:w="108" w:type="dxa"/>
                </w:tblCellMar>
              </w:tblPrEx>
              <w:trPr>
                <w:trHeight w:val="285" w:hRule="atLeast"/>
                <w:jc w:val="center"/>
              </w:trPr>
              <w:tc>
                <w:tcPr>
                  <w:tcW w:w="4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01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51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3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pict>
                      <v:line id="直接连接符 27" o:spid="_x0000_s1046" o:spt="20" style="position:absolute;left:0pt;flip:y;margin-left:-2.7pt;margin-top:8.85pt;height:0.7pt;width:185.9pt;z-index:251661312;mso-width-relative:page;mso-height-relative:page;" filled="f" stroked="t" coordsize="21600,21600">
                        <v:path arrowok="t"/>
                        <v:fill on="f" focussize="0,0"/>
                        <v:stroke weight="1.25pt" color="#000000"/>
                        <v:imagedata o:title=""/>
                        <o:lock v:ext="edit" aspectratio="f"/>
                      </v:line>
                    </w:pict>
                  </w:r>
                </w:p>
              </w:tc>
              <w:tc>
                <w:tcPr>
                  <w:tcW w:w="47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4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r>
            <w:tr>
              <w:tblPrEx>
                <w:tblCellMar>
                  <w:top w:w="0" w:type="dxa"/>
                  <w:left w:w="108" w:type="dxa"/>
                  <w:bottom w:w="0" w:type="dxa"/>
                  <w:right w:w="108" w:type="dxa"/>
                </w:tblCellMar>
              </w:tblPrEx>
              <w:trPr>
                <w:trHeight w:val="236" w:hRule="atLeast"/>
                <w:jc w:val="center"/>
              </w:trPr>
              <w:tc>
                <w:tcPr>
                  <w:tcW w:w="4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01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竣工验收</w:t>
                  </w:r>
                </w:p>
              </w:tc>
              <w:tc>
                <w:tcPr>
                  <w:tcW w:w="51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3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7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9"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443"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45"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p>
              </w:tc>
              <w:tc>
                <w:tcPr>
                  <w:tcW w:w="560" w:type="pct"/>
                  <w:tcBorders>
                    <w:top w:val="single" w:color="auto" w:sz="6" w:space="0"/>
                    <w:left w:val="single" w:color="auto" w:sz="6" w:space="0"/>
                    <w:bottom w:val="single" w:color="auto" w:sz="6" w:space="0"/>
                    <w:right w:val="single" w:color="auto" w:sz="6" w:space="0"/>
                  </w:tcBorders>
                  <w:vAlign w:val="center"/>
                </w:tcPr>
                <w:p>
                  <w:pPr>
                    <w:pStyle w:val="5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pict>
                      <v:line id="直接连接符 62" o:spid="_x0000_s1045" o:spt="20" style="position:absolute;left:0pt;flip:y;margin-left:-2.25pt;margin-top:6.6pt;height:1.1pt;width:36.5pt;z-index:251662336;mso-width-relative:page;mso-height-relative:page;" filled="f" stroked="t" coordsize="21600,21600">
                        <v:path arrowok="t"/>
                        <v:fill on="f" focussize="0,0"/>
                        <v:stroke weight="1.25pt" color="#000000"/>
                        <v:imagedata o:title=""/>
                        <o:lock v:ext="edit" aspectratio="f"/>
                      </v:line>
                    </w:pict>
                  </w:r>
                </w:p>
              </w:tc>
            </w:tr>
          </w:tbl>
          <w:p>
            <w:pPr>
              <w:adjustRightInd w:val="0"/>
              <w:snapToGrid w:val="0"/>
              <w:spacing w:beforeLines="50"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2.11施工工期</w:t>
            </w:r>
          </w:p>
          <w:p>
            <w:pPr>
              <w:adjustRightInd w:val="0"/>
              <w:snapToGrid w:val="0"/>
              <w:spacing w:line="360" w:lineRule="auto"/>
              <w:ind w:firstLine="480" w:firstLineChars="200"/>
              <w:rPr>
                <w:rFonts w:hint="default" w:ascii="Times New Roman" w:hAnsi="Times New Roman" w:cs="Times New Roman"/>
                <w:b/>
                <w:color w:val="auto"/>
                <w:kern w:val="0"/>
              </w:rPr>
            </w:pPr>
            <w:r>
              <w:rPr>
                <w:rFonts w:hint="default" w:ascii="Times New Roman" w:hAnsi="Times New Roman" w:cs="Times New Roman"/>
                <w:bCs/>
                <w:color w:val="auto"/>
                <w:kern w:val="0"/>
              </w:rPr>
              <w:t>本工程预计总工期为</w:t>
            </w:r>
            <w:r>
              <w:rPr>
                <w:rFonts w:hint="default" w:ascii="Times New Roman" w:hAnsi="Times New Roman" w:cs="Times New Roman"/>
                <w:bCs/>
                <w:color w:val="auto"/>
                <w:kern w:val="0"/>
                <w:lang w:val="en-US" w:eastAsia="zh-CN"/>
              </w:rPr>
              <w:t>8</w:t>
            </w:r>
            <w:r>
              <w:rPr>
                <w:rFonts w:hint="default" w:ascii="Times New Roman" w:hAnsi="Times New Roman" w:cs="Times New Roman"/>
                <w:bCs/>
                <w:color w:val="auto"/>
                <w:kern w:val="0"/>
              </w:rPr>
              <w:t>个月，202</w:t>
            </w:r>
            <w:r>
              <w:rPr>
                <w:rFonts w:hint="default" w:ascii="Times New Roman" w:hAnsi="Times New Roman" w:cs="Times New Roman"/>
                <w:bCs/>
                <w:color w:val="auto"/>
                <w:kern w:val="0"/>
                <w:lang w:val="en-US" w:eastAsia="zh-CN"/>
              </w:rPr>
              <w:t>4</w:t>
            </w:r>
            <w:r>
              <w:rPr>
                <w:rFonts w:hint="default" w:ascii="Times New Roman" w:hAnsi="Times New Roman" w:cs="Times New Roman"/>
                <w:bCs/>
                <w:color w:val="auto"/>
                <w:kern w:val="0"/>
              </w:rPr>
              <w:t>年</w:t>
            </w:r>
            <w:r>
              <w:rPr>
                <w:rFonts w:hint="default" w:ascii="Times New Roman" w:hAnsi="Times New Roman" w:cs="Times New Roman"/>
                <w:bCs/>
                <w:color w:val="auto"/>
                <w:kern w:val="0"/>
                <w:lang w:val="en-US" w:eastAsia="zh-CN"/>
              </w:rPr>
              <w:t>5</w:t>
            </w:r>
            <w:r>
              <w:rPr>
                <w:rFonts w:hint="default" w:ascii="Times New Roman" w:hAnsi="Times New Roman" w:cs="Times New Roman"/>
                <w:bCs/>
                <w:color w:val="auto"/>
                <w:kern w:val="0"/>
              </w:rPr>
              <w:t>月至202</w:t>
            </w:r>
            <w:r>
              <w:rPr>
                <w:rFonts w:hint="default" w:ascii="Times New Roman" w:hAnsi="Times New Roman" w:cs="Times New Roman"/>
                <w:bCs/>
                <w:color w:val="auto"/>
                <w:kern w:val="0"/>
                <w:lang w:val="en-US" w:eastAsia="zh-CN"/>
              </w:rPr>
              <w:t>4</w:t>
            </w:r>
            <w:r>
              <w:rPr>
                <w:rFonts w:hint="default" w:ascii="Times New Roman" w:hAnsi="Times New Roman" w:cs="Times New Roman"/>
                <w:bCs/>
                <w:color w:val="auto"/>
                <w:kern w:val="0"/>
              </w:rPr>
              <w:t>年</w:t>
            </w:r>
            <w:r>
              <w:rPr>
                <w:rFonts w:hint="default" w:ascii="Times New Roman" w:hAnsi="Times New Roman" w:cs="Times New Roman"/>
                <w:bCs/>
                <w:color w:val="auto"/>
                <w:kern w:val="0"/>
                <w:lang w:val="en-US" w:eastAsia="zh-CN"/>
              </w:rPr>
              <w:t>12</w:t>
            </w:r>
            <w:r>
              <w:rPr>
                <w:rFonts w:hint="default" w:ascii="Times New Roman" w:hAnsi="Times New Roman" w:cs="Times New Roman"/>
                <w:bCs/>
                <w:color w:val="auto"/>
                <w:kern w:val="0"/>
              </w:rPr>
              <w:t>月全部施工完成。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457" w:type="dxa"/>
            <w:vAlign w:val="center"/>
          </w:tcPr>
          <w:p>
            <w:pPr>
              <w:adjustRightInd w:val="0"/>
              <w:snapToGrid w:val="0"/>
              <w:spacing w:beforeLines="5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其</w:t>
            </w:r>
          </w:p>
          <w:p>
            <w:pPr>
              <w:adjustRightInd w:val="0"/>
              <w:snapToGrid w:val="0"/>
              <w:spacing w:beforeLines="50"/>
              <w:jc w:val="center"/>
              <w:rPr>
                <w:rFonts w:hint="default" w:ascii="Times New Roman" w:hAnsi="Times New Roman" w:cs="Times New Roman"/>
                <w:color w:val="auto"/>
                <w:kern w:val="0"/>
              </w:rPr>
            </w:pPr>
            <w:r>
              <w:rPr>
                <w:rFonts w:hint="default" w:ascii="Times New Roman" w:hAnsi="Times New Roman" w:cs="Times New Roman"/>
                <w:b/>
                <w:bCs/>
                <w:color w:val="auto"/>
                <w:kern w:val="0"/>
              </w:rPr>
              <w:t>他</w:t>
            </w:r>
          </w:p>
        </w:tc>
        <w:tc>
          <w:tcPr>
            <w:tcW w:w="8063"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0"/>
              </w:rPr>
              <w:t>无</w:t>
            </w:r>
          </w:p>
        </w:tc>
      </w:tr>
    </w:tbl>
    <w:p>
      <w:pPr>
        <w:pStyle w:val="19"/>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仿宋_GB2312" w:cs="Times New Roman"/>
          <w:b/>
          <w:bCs/>
          <w:color w:val="auto"/>
        </w:rPr>
        <w:br w:type="page"/>
      </w:r>
      <w:bookmarkStart w:id="6" w:name="_Toc69334651"/>
      <w:r>
        <w:rPr>
          <w:rFonts w:hint="default" w:ascii="Times New Roman" w:hAnsi="Times New Roman" w:eastAsia="黑体" w:cs="Times New Roman"/>
          <w:b/>
          <w:bCs/>
          <w:snapToGrid w:val="0"/>
          <w:color w:val="auto"/>
          <w:sz w:val="30"/>
          <w:szCs w:val="30"/>
        </w:rPr>
        <w:t>三、生态环境现状、保护目标及评价标准</w:t>
      </w:r>
      <w:bookmarkEnd w:id="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63"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生</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态</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环</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境</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现</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状</w:t>
            </w:r>
          </w:p>
        </w:tc>
        <w:tc>
          <w:tcPr>
            <w:tcW w:w="7759" w:type="dxa"/>
            <w:vAlign w:val="center"/>
          </w:tcPr>
          <w:p>
            <w:pPr>
              <w:adjustRightInd w:val="0"/>
              <w:snapToGrid w:val="0"/>
              <w:spacing w:beforeLines="50"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1、主体功能区划</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本工程位于青海省东部重点开发区，该区域功能定位为特色农牧业产业基地，主体功能区划图见附图</w:t>
            </w: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rPr>
              <w:t>。</w:t>
            </w:r>
          </w:p>
          <w:p>
            <w:pPr>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2、生态功能区划</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本工程位于青海东部农牧生态区，黄河上游谷地温性草原亚区，</w:t>
            </w:r>
            <w:r>
              <w:rPr>
                <w:rFonts w:hint="default" w:ascii="Times New Roman" w:hAnsi="Times New Roman" w:cs="Times New Roman"/>
                <w:color w:val="auto"/>
              </w:rPr>
              <w:t>黄河上游谷地水土保持生态功能区，其主要生态系统服务功能为水源涵养和土壤保持，</w:t>
            </w:r>
            <w:r>
              <w:rPr>
                <w:rFonts w:hint="default" w:ascii="Times New Roman" w:hAnsi="Times New Roman" w:cs="Times New Roman"/>
                <w:color w:val="auto"/>
                <w:kern w:val="0"/>
              </w:rPr>
              <w:t>生态功能区划图见附图</w:t>
            </w:r>
            <w:r>
              <w:rPr>
                <w:rFonts w:hint="default" w:ascii="Times New Roman" w:hAnsi="Times New Roman" w:cs="Times New Roman"/>
                <w:color w:val="auto"/>
                <w:kern w:val="0"/>
                <w:lang w:val="en-US" w:eastAsia="zh-CN"/>
              </w:rPr>
              <w:t>7</w:t>
            </w:r>
            <w:r>
              <w:rPr>
                <w:rFonts w:hint="default" w:ascii="Times New Roman" w:hAnsi="Times New Roman" w:cs="Times New Roman"/>
                <w:color w:val="auto"/>
                <w:kern w:val="0"/>
              </w:rPr>
              <w:t>。</w:t>
            </w:r>
          </w:p>
          <w:p>
            <w:pPr>
              <w:numPr>
                <w:ilvl w:val="0"/>
                <w:numId w:val="1"/>
              </w:numPr>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水资源利用现状</w:t>
            </w:r>
          </w:p>
          <w:p>
            <w:pPr>
              <w:numPr>
                <w:ilvl w:val="0"/>
                <w:numId w:val="0"/>
              </w:numPr>
              <w:adjustRightInd w:val="0"/>
              <w:snapToGrid w:val="0"/>
              <w:spacing w:line="360" w:lineRule="auto"/>
              <w:ind w:firstLine="432" w:firstLineChars="200"/>
              <w:rPr>
                <w:rFonts w:hint="default" w:ascii="Times New Roman" w:hAnsi="Times New Roman" w:eastAsia="宋体" w:cs="Times New Roman"/>
                <w:color w:val="auto"/>
                <w:spacing w:val="-2"/>
                <w:sz w:val="24"/>
                <w:szCs w:val="24"/>
                <w:lang w:val="en-US" w:eastAsia="zh-CN" w:bidi="ar-SA"/>
              </w:rPr>
            </w:pPr>
            <w:r>
              <w:rPr>
                <w:rFonts w:hint="default" w:ascii="Times New Roman" w:hAnsi="Times New Roman" w:cs="Times New Roman"/>
                <w:color w:val="auto"/>
                <w:spacing w:val="-12"/>
                <w:sz w:val="24"/>
                <w:szCs w:val="24"/>
                <w:lang w:val="en-US" w:eastAsia="zh-CN" w:bidi="ar-SA"/>
              </w:rPr>
              <w:t>化</w:t>
            </w:r>
            <w:r>
              <w:rPr>
                <w:rFonts w:hint="default" w:ascii="Times New Roman" w:hAnsi="Times New Roman" w:eastAsia="宋体" w:cs="Times New Roman"/>
                <w:color w:val="auto"/>
                <w:spacing w:val="-12"/>
                <w:sz w:val="24"/>
                <w:szCs w:val="24"/>
                <w:lang w:val="en-US" w:eastAsia="zh-CN" w:bidi="ar-SA"/>
              </w:rPr>
              <w:t xml:space="preserve">隆县属黄河流域，境内有大小主沟道 </w:t>
            </w:r>
            <w:r>
              <w:rPr>
                <w:rFonts w:hint="default" w:ascii="Times New Roman" w:hAnsi="Times New Roman" w:eastAsia="Times New Roman" w:cs="Times New Roman"/>
                <w:color w:val="auto"/>
                <w:sz w:val="24"/>
                <w:szCs w:val="24"/>
                <w:lang w:val="en-US" w:eastAsia="zh-CN" w:bidi="ar-SA"/>
              </w:rPr>
              <w:t>16</w:t>
            </w:r>
            <w:r>
              <w:rPr>
                <w:rFonts w:hint="default" w:ascii="Times New Roman" w:hAnsi="Times New Roman" w:eastAsia="Times New Roman" w:cs="Times New Roman"/>
                <w:color w:val="auto"/>
                <w:spacing w:val="-15"/>
                <w:sz w:val="24"/>
                <w:szCs w:val="24"/>
                <w:lang w:val="en-US" w:eastAsia="zh-CN" w:bidi="ar-SA"/>
              </w:rPr>
              <w:t xml:space="preserve"> </w:t>
            </w:r>
            <w:r>
              <w:rPr>
                <w:rFonts w:hint="default" w:ascii="Times New Roman" w:hAnsi="Times New Roman" w:eastAsia="宋体" w:cs="Times New Roman"/>
                <w:color w:val="auto"/>
                <w:spacing w:val="-9"/>
                <w:sz w:val="24"/>
                <w:szCs w:val="24"/>
                <w:lang w:val="en-US" w:eastAsia="zh-CN" w:bidi="ar-SA"/>
              </w:rPr>
              <w:t>条，其中属于黄河的一级支流的有</w:t>
            </w:r>
            <w:r>
              <w:rPr>
                <w:rFonts w:hint="default" w:ascii="Times New Roman" w:hAnsi="Times New Roman" w:eastAsia="Times New Roman"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支扎、</w:t>
            </w:r>
            <w:r>
              <w:rPr>
                <w:rFonts w:hint="default" w:ascii="Times New Roman" w:hAnsi="Times New Roman" w:eastAsia="宋体" w:cs="Times New Roman"/>
                <w:color w:val="auto"/>
                <w:spacing w:val="-2"/>
                <w:sz w:val="24"/>
                <w:szCs w:val="24"/>
                <w:lang w:val="en-US" w:eastAsia="zh-CN" w:bidi="ar-SA"/>
              </w:rPr>
              <w:t>雄先、查让、查甫、黑城、昂思多、科却、甲加、若索、巴燕、初麻、塔加、塔</w:t>
            </w:r>
            <w:r>
              <w:rPr>
                <w:rFonts w:hint="default" w:ascii="Times New Roman" w:hAnsi="Times New Roman" w:eastAsia="宋体" w:cs="Times New Roman"/>
                <w:color w:val="auto"/>
                <w:spacing w:val="-17"/>
                <w:sz w:val="24"/>
                <w:szCs w:val="24"/>
                <w:lang w:val="en-US" w:eastAsia="zh-CN" w:bidi="ar-SA"/>
              </w:rPr>
              <w:t>加共计</w:t>
            </w:r>
            <w:r>
              <w:rPr>
                <w:rFonts w:hint="default" w:ascii="Times New Roman" w:hAnsi="Times New Roman" w:eastAsia="Times New Roman" w:cs="Times New Roman"/>
                <w:color w:val="auto"/>
                <w:spacing w:val="-2"/>
                <w:sz w:val="24"/>
                <w:szCs w:val="24"/>
                <w:lang w:val="en-US" w:eastAsia="zh-CN" w:bidi="ar-SA"/>
              </w:rPr>
              <w:t>13</w:t>
            </w:r>
            <w:r>
              <w:rPr>
                <w:rFonts w:hint="default" w:ascii="Times New Roman" w:hAnsi="Times New Roman" w:eastAsia="宋体" w:cs="Times New Roman"/>
                <w:color w:val="auto"/>
                <w:spacing w:val="-14"/>
                <w:sz w:val="24"/>
                <w:szCs w:val="24"/>
                <w:lang w:val="en-US" w:eastAsia="zh-CN" w:bidi="ar-SA"/>
              </w:rPr>
              <w:t xml:space="preserve">条，流程 </w:t>
            </w:r>
            <w:r>
              <w:rPr>
                <w:rFonts w:hint="default" w:ascii="Times New Roman" w:hAnsi="Times New Roman" w:eastAsia="Times New Roman" w:cs="Times New Roman"/>
                <w:color w:val="auto"/>
                <w:spacing w:val="-2"/>
                <w:sz w:val="24"/>
                <w:szCs w:val="24"/>
                <w:lang w:val="en-US" w:eastAsia="zh-CN" w:bidi="ar-SA"/>
              </w:rPr>
              <w:t>307km</w:t>
            </w:r>
            <w:r>
              <w:rPr>
                <w:rFonts w:hint="default" w:ascii="Times New Roman" w:hAnsi="Times New Roman" w:eastAsia="宋体" w:cs="Times New Roman"/>
                <w:color w:val="auto"/>
                <w:spacing w:val="-2"/>
                <w:sz w:val="24"/>
                <w:szCs w:val="24"/>
                <w:lang w:val="en-US" w:eastAsia="zh-CN" w:bidi="ar-SA"/>
              </w:rPr>
              <w:t>。二级支流有</w:t>
            </w:r>
            <w:r>
              <w:rPr>
                <w:rFonts w:hint="default" w:ascii="Times New Roman" w:hAnsi="Times New Roman" w:cs="Times New Roman"/>
                <w:color w:val="auto"/>
                <w:spacing w:val="-2"/>
                <w:sz w:val="24"/>
                <w:szCs w:val="24"/>
                <w:lang w:val="en-US" w:eastAsia="zh-CN" w:bidi="ar-SA"/>
              </w:rPr>
              <w:t>：</w:t>
            </w:r>
            <w:r>
              <w:rPr>
                <w:rFonts w:hint="default" w:ascii="Times New Roman" w:hAnsi="Times New Roman" w:eastAsia="宋体" w:cs="Times New Roman"/>
                <w:color w:val="auto"/>
                <w:spacing w:val="-8"/>
                <w:sz w:val="24"/>
                <w:szCs w:val="24"/>
                <w:lang w:val="en-US" w:eastAsia="zh-CN" w:bidi="ar-SA"/>
              </w:rPr>
              <w:t>石大仓、尕洞和阿化</w:t>
            </w:r>
            <w:r>
              <w:rPr>
                <w:rFonts w:hint="default" w:ascii="Times New Roman" w:hAnsi="Times New Roman" w:eastAsia="Times New Roman" w:cs="Times New Roman"/>
                <w:color w:val="auto"/>
                <w:spacing w:val="-2"/>
                <w:sz w:val="24"/>
                <w:szCs w:val="24"/>
                <w:lang w:val="en-US" w:eastAsia="zh-CN" w:bidi="ar-SA"/>
              </w:rPr>
              <w:t>3</w:t>
            </w:r>
            <w:r>
              <w:rPr>
                <w:rFonts w:hint="default" w:ascii="Times New Roman" w:hAnsi="Times New Roman" w:eastAsia="宋体" w:cs="Times New Roman"/>
                <w:color w:val="auto"/>
                <w:spacing w:val="-14"/>
                <w:sz w:val="24"/>
                <w:szCs w:val="24"/>
                <w:lang w:val="en-US" w:eastAsia="zh-CN" w:bidi="ar-SA"/>
              </w:rPr>
              <w:t xml:space="preserve">条，流程 </w:t>
            </w:r>
            <w:r>
              <w:rPr>
                <w:rFonts w:hint="default" w:ascii="Times New Roman" w:hAnsi="Times New Roman" w:eastAsia="Times New Roman" w:cs="Times New Roman"/>
                <w:color w:val="auto"/>
                <w:spacing w:val="-2"/>
                <w:sz w:val="24"/>
                <w:szCs w:val="24"/>
                <w:lang w:val="en-US" w:eastAsia="zh-CN" w:bidi="ar-SA"/>
              </w:rPr>
              <w:t>89km</w:t>
            </w:r>
            <w:r>
              <w:rPr>
                <w:rFonts w:hint="default" w:ascii="Times New Roman" w:hAnsi="Times New Roman" w:eastAsia="宋体" w:cs="Times New Roman"/>
                <w:color w:val="auto"/>
                <w:spacing w:val="-2"/>
                <w:sz w:val="24"/>
                <w:szCs w:val="24"/>
                <w:lang w:val="en-US" w:eastAsia="zh-CN" w:bidi="ar-SA"/>
              </w:rPr>
              <w:t>。以塔加沟河流水量补给均以降水补给为主，科却、甲加、若索、阿化发源于县境</w:t>
            </w:r>
            <w:r>
              <w:rPr>
                <w:rFonts w:hint="default" w:ascii="Times New Roman" w:hAnsi="Times New Roman" w:eastAsia="宋体" w:cs="Times New Roman"/>
                <w:color w:val="auto"/>
                <w:spacing w:val="-4"/>
                <w:sz w:val="24"/>
                <w:szCs w:val="24"/>
                <w:lang w:val="en-US" w:eastAsia="zh-CN" w:bidi="ar-SA"/>
              </w:rPr>
              <w:t xml:space="preserve">北部海拔 </w:t>
            </w:r>
            <w:r>
              <w:rPr>
                <w:rFonts w:hint="default" w:ascii="Times New Roman" w:hAnsi="Times New Roman" w:eastAsia="Times New Roman" w:cs="Times New Roman"/>
                <w:color w:val="auto"/>
                <w:sz w:val="24"/>
                <w:szCs w:val="24"/>
                <w:lang w:val="en-US" w:eastAsia="zh-CN" w:bidi="ar-SA"/>
              </w:rPr>
              <w:t xml:space="preserve">3000m </w:t>
            </w:r>
            <w:r>
              <w:rPr>
                <w:rFonts w:hint="default" w:ascii="Times New Roman" w:hAnsi="Times New Roman" w:eastAsia="宋体" w:cs="Times New Roman"/>
                <w:color w:val="auto"/>
                <w:sz w:val="24"/>
                <w:szCs w:val="24"/>
                <w:lang w:val="en-US" w:eastAsia="zh-CN" w:bidi="ar-SA"/>
              </w:rPr>
              <w:t>以上的高山地带，区域内降水充沛，植被较好，河流基本常年</w:t>
            </w:r>
            <w:r>
              <w:rPr>
                <w:rFonts w:hint="default" w:ascii="Times New Roman" w:hAnsi="Times New Roman" w:eastAsia="宋体" w:cs="Times New Roman"/>
                <w:color w:val="auto"/>
                <w:spacing w:val="-4"/>
                <w:sz w:val="24"/>
                <w:szCs w:val="24"/>
                <w:lang w:val="en-US" w:eastAsia="zh-CN" w:bidi="ar-SA"/>
              </w:rPr>
              <w:t xml:space="preserve">不枯竭。黄河一级支流集水面积为 </w:t>
            </w:r>
            <w:r>
              <w:rPr>
                <w:rFonts w:hint="default" w:ascii="Times New Roman" w:hAnsi="Times New Roman" w:eastAsia="Times New Roman" w:cs="Times New Roman"/>
                <w:color w:val="auto"/>
                <w:sz w:val="24"/>
                <w:szCs w:val="24"/>
                <w:lang w:val="en-US" w:eastAsia="zh-CN" w:bidi="ar-SA"/>
              </w:rPr>
              <w:t>2282.5km</w:t>
            </w:r>
            <w:r>
              <w:rPr>
                <w:rFonts w:hint="default" w:ascii="Times New Roman" w:hAnsi="Times New Roman" w:eastAsia="Times New Roman" w:cs="Times New Roman"/>
                <w:color w:val="auto"/>
                <w:position w:val="8"/>
                <w:sz w:val="15"/>
                <w:szCs w:val="24"/>
                <w:lang w:val="en-US" w:eastAsia="zh-CN" w:bidi="ar-SA"/>
              </w:rPr>
              <w:t>2</w:t>
            </w:r>
            <w:r>
              <w:rPr>
                <w:rFonts w:hint="default" w:ascii="Times New Roman" w:hAnsi="Times New Roman" w:eastAsia="宋体" w:cs="Times New Roman"/>
                <w:color w:val="auto"/>
                <w:sz w:val="24"/>
                <w:szCs w:val="24"/>
                <w:lang w:val="en-US" w:eastAsia="zh-CN" w:bidi="ar-SA"/>
              </w:rPr>
              <w:t>，</w:t>
            </w:r>
            <w:r>
              <w:rPr>
                <w:rFonts w:hint="default" w:ascii="Times New Roman" w:hAnsi="Times New Roman" w:eastAsia="Times New Roman" w:cs="Times New Roman"/>
                <w:color w:val="auto"/>
                <w:sz w:val="24"/>
                <w:szCs w:val="24"/>
                <w:lang w:val="en-US" w:eastAsia="zh-CN" w:bidi="ar-SA"/>
              </w:rPr>
              <w:t>16</w:t>
            </w:r>
            <w:r>
              <w:rPr>
                <w:rFonts w:hint="default" w:ascii="Times New Roman" w:hAnsi="Times New Roman" w:eastAsia="宋体" w:cs="Times New Roman"/>
                <w:color w:val="auto"/>
                <w:spacing w:val="-6"/>
                <w:sz w:val="24"/>
                <w:szCs w:val="24"/>
                <w:lang w:val="en-US" w:eastAsia="zh-CN" w:bidi="ar-SA"/>
              </w:rPr>
              <w:t xml:space="preserve">条支流的总河道长度 </w:t>
            </w:r>
            <w:r>
              <w:rPr>
                <w:rFonts w:hint="default" w:ascii="Times New Roman" w:hAnsi="Times New Roman" w:eastAsia="Times New Roman" w:cs="Times New Roman"/>
                <w:color w:val="auto"/>
                <w:sz w:val="24"/>
                <w:szCs w:val="24"/>
                <w:lang w:val="en-US" w:eastAsia="zh-CN" w:bidi="ar-SA"/>
              </w:rPr>
              <w:t>396km</w:t>
            </w:r>
            <w:r>
              <w:rPr>
                <w:rFonts w:hint="default"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pacing w:val="-4"/>
                <w:sz w:val="24"/>
                <w:szCs w:val="24"/>
                <w:lang w:val="en-US" w:eastAsia="zh-CN" w:bidi="ar-SA"/>
              </w:rPr>
              <w:t xml:space="preserve">全县多年平均自产地表水径流总量 </w:t>
            </w:r>
            <w:r>
              <w:rPr>
                <w:rFonts w:hint="default" w:ascii="Times New Roman" w:hAnsi="Times New Roman" w:eastAsia="Times New Roman" w:cs="Times New Roman"/>
                <w:color w:val="auto"/>
                <w:sz w:val="24"/>
                <w:szCs w:val="24"/>
                <w:lang w:val="en-US" w:eastAsia="zh-CN" w:bidi="ar-SA"/>
              </w:rPr>
              <w:t xml:space="preserve">9271.85 </w:t>
            </w:r>
            <w:r>
              <w:rPr>
                <w:rFonts w:hint="default" w:ascii="Times New Roman" w:hAnsi="Times New Roman" w:eastAsia="宋体" w:cs="Times New Roman"/>
                <w:color w:val="auto"/>
                <w:spacing w:val="-25"/>
                <w:sz w:val="24"/>
                <w:szCs w:val="24"/>
                <w:lang w:val="en-US" w:eastAsia="zh-CN" w:bidi="ar-SA"/>
              </w:rPr>
              <w:t xml:space="preserve">万 </w:t>
            </w:r>
            <w:r>
              <w:rPr>
                <w:rFonts w:hint="default" w:ascii="Times New Roman" w:hAnsi="Times New Roman" w:eastAsia="Times New Roman" w:cs="Times New Roman"/>
                <w:color w:val="auto"/>
                <w:sz w:val="24"/>
                <w:szCs w:val="24"/>
                <w:lang w:val="en-US" w:eastAsia="zh-CN" w:bidi="ar-SA"/>
              </w:rPr>
              <w:t>m³</w:t>
            </w:r>
            <w:r>
              <w:rPr>
                <w:rFonts w:hint="default" w:ascii="Times New Roman" w:hAnsi="Times New Roman" w:eastAsia="宋体" w:cs="Times New Roman"/>
                <w:color w:val="auto"/>
                <w:spacing w:val="-5"/>
                <w:sz w:val="24"/>
                <w:szCs w:val="24"/>
                <w:lang w:val="en-US" w:eastAsia="zh-CN" w:bidi="ar-SA"/>
              </w:rPr>
              <w:t>，境内河流分布比较均匀，每平</w:t>
            </w:r>
            <w:r>
              <w:rPr>
                <w:rFonts w:hint="default" w:ascii="Times New Roman" w:hAnsi="Times New Roman" w:eastAsia="宋体" w:cs="Times New Roman"/>
                <w:color w:val="auto"/>
                <w:spacing w:val="-6"/>
                <w:sz w:val="24"/>
                <w:szCs w:val="24"/>
                <w:lang w:val="en-US" w:eastAsia="zh-CN" w:bidi="ar-SA"/>
              </w:rPr>
              <w:t>方公里主河道沟道长</w:t>
            </w:r>
            <w:r>
              <w:rPr>
                <w:rFonts w:hint="default" w:ascii="Times New Roman" w:hAnsi="Times New Roman" w:eastAsia="Times New Roman" w:cs="Times New Roman"/>
                <w:color w:val="auto"/>
                <w:sz w:val="24"/>
                <w:szCs w:val="24"/>
                <w:lang w:val="en-US" w:eastAsia="zh-CN" w:bidi="ar-SA"/>
              </w:rPr>
              <w:t>144.5m</w:t>
            </w:r>
            <w:r>
              <w:rPr>
                <w:rFonts w:hint="default" w:ascii="Times New Roman" w:hAnsi="Times New Roman" w:eastAsia="宋体" w:cs="Times New Roman"/>
                <w:color w:val="auto"/>
                <w:spacing w:val="-6"/>
                <w:sz w:val="24"/>
                <w:szCs w:val="24"/>
                <w:lang w:val="en-US" w:eastAsia="zh-CN" w:bidi="ar-SA"/>
              </w:rPr>
              <w:t xml:space="preserve">，每平方公里径流量 </w:t>
            </w:r>
            <w:r>
              <w:rPr>
                <w:rFonts w:hint="default" w:ascii="Times New Roman" w:hAnsi="Times New Roman" w:eastAsia="Times New Roman" w:cs="Times New Roman"/>
                <w:color w:val="auto"/>
                <w:sz w:val="24"/>
                <w:szCs w:val="24"/>
                <w:lang w:val="en-US" w:eastAsia="zh-CN" w:bidi="ar-SA"/>
              </w:rPr>
              <w:t>3.38</w:t>
            </w:r>
            <w:r>
              <w:rPr>
                <w:rFonts w:hint="default" w:ascii="Times New Roman" w:hAnsi="Times New Roman" w:eastAsia="宋体" w:cs="Times New Roman"/>
                <w:color w:val="auto"/>
                <w:spacing w:val="-27"/>
                <w:sz w:val="24"/>
                <w:szCs w:val="24"/>
                <w:lang w:val="en-US" w:eastAsia="zh-CN" w:bidi="ar-SA"/>
              </w:rPr>
              <w:t xml:space="preserve">万 </w:t>
            </w:r>
            <w:r>
              <w:rPr>
                <w:rFonts w:hint="default" w:ascii="Times New Roman" w:hAnsi="Times New Roman" w:eastAsia="Times New Roman" w:cs="Times New Roman"/>
                <w:color w:val="auto"/>
                <w:sz w:val="24"/>
                <w:szCs w:val="24"/>
                <w:lang w:val="en-US" w:eastAsia="zh-CN" w:bidi="ar-SA"/>
              </w:rPr>
              <w:t>m³</w:t>
            </w:r>
            <w:r>
              <w:rPr>
                <w:rFonts w:hint="default" w:ascii="Times New Roman" w:hAnsi="Times New Roman" w:eastAsia="宋体" w:cs="Times New Roman"/>
                <w:color w:val="auto"/>
                <w:sz w:val="24"/>
                <w:szCs w:val="24"/>
                <w:lang w:val="en-US" w:eastAsia="zh-CN" w:bidi="ar-SA"/>
              </w:rPr>
              <w:t>。县境黄河水系自产</w:t>
            </w:r>
            <w:r>
              <w:rPr>
                <w:rFonts w:hint="default" w:ascii="Times New Roman" w:hAnsi="Times New Roman" w:eastAsia="宋体" w:cs="Times New Roman"/>
                <w:color w:val="auto"/>
                <w:spacing w:val="3"/>
                <w:sz w:val="24"/>
                <w:szCs w:val="24"/>
                <w:lang w:val="en-US" w:eastAsia="zh-CN" w:bidi="ar-SA"/>
              </w:rPr>
              <w:t>水加涅中群加沟来水总计为</w:t>
            </w:r>
            <w:r>
              <w:rPr>
                <w:rFonts w:hint="default" w:ascii="Times New Roman" w:hAnsi="Times New Roman" w:eastAsia="Times New Roman" w:cs="Times New Roman"/>
                <w:color w:val="auto"/>
                <w:sz w:val="24"/>
                <w:szCs w:val="24"/>
                <w:lang w:val="en-US" w:eastAsia="zh-CN" w:bidi="ar-SA"/>
              </w:rPr>
              <w:t>10397.41</w:t>
            </w:r>
            <w:r>
              <w:rPr>
                <w:rFonts w:hint="default" w:ascii="Times New Roman" w:hAnsi="Times New Roman" w:eastAsia="宋体" w:cs="Times New Roman"/>
                <w:color w:val="auto"/>
                <w:spacing w:val="-15"/>
                <w:sz w:val="24"/>
                <w:szCs w:val="24"/>
                <w:lang w:val="en-US" w:eastAsia="zh-CN" w:bidi="ar-SA"/>
              </w:rPr>
              <w:t xml:space="preserve">万 </w:t>
            </w:r>
            <w:r>
              <w:rPr>
                <w:rFonts w:hint="default" w:ascii="Times New Roman" w:hAnsi="Times New Roman" w:eastAsia="Times New Roman" w:cs="Times New Roman"/>
                <w:color w:val="auto"/>
                <w:sz w:val="24"/>
                <w:szCs w:val="24"/>
                <w:lang w:val="en-US" w:eastAsia="zh-CN" w:bidi="ar-SA"/>
              </w:rPr>
              <w:t>m³</w:t>
            </w:r>
            <w:r>
              <w:rPr>
                <w:rFonts w:hint="default" w:ascii="Times New Roman" w:hAnsi="Times New Roman" w:eastAsia="宋体" w:cs="Times New Roman"/>
                <w:color w:val="auto"/>
                <w:spacing w:val="-12"/>
                <w:sz w:val="24"/>
                <w:szCs w:val="24"/>
                <w:lang w:val="en-US" w:eastAsia="zh-CN" w:bidi="ar-SA"/>
              </w:rPr>
              <w:t>。黄河干流巴峡入境至东南塔加出境，</w:t>
            </w:r>
            <w:r>
              <w:rPr>
                <w:rFonts w:hint="default" w:ascii="Times New Roman" w:hAnsi="Times New Roman" w:eastAsia="宋体" w:cs="Times New Roman"/>
                <w:color w:val="auto"/>
                <w:spacing w:val="-16"/>
                <w:sz w:val="24"/>
                <w:szCs w:val="24"/>
                <w:lang w:val="en-US" w:eastAsia="zh-CN" w:bidi="ar-SA"/>
              </w:rPr>
              <w:t xml:space="preserve">流程 </w:t>
            </w:r>
            <w:r>
              <w:rPr>
                <w:rFonts w:hint="default" w:ascii="Times New Roman" w:hAnsi="Times New Roman" w:eastAsia="Times New Roman" w:cs="Times New Roman"/>
                <w:color w:val="auto"/>
                <w:sz w:val="24"/>
                <w:szCs w:val="24"/>
                <w:lang w:val="en-US" w:eastAsia="zh-CN" w:bidi="ar-SA"/>
              </w:rPr>
              <w:t>15lkm</w:t>
            </w:r>
            <w:r>
              <w:rPr>
                <w:rFonts w:hint="default" w:ascii="Times New Roman" w:hAnsi="Times New Roman" w:eastAsia="宋体" w:cs="Times New Roman"/>
                <w:color w:val="auto"/>
                <w:spacing w:val="-2"/>
                <w:sz w:val="24"/>
                <w:szCs w:val="24"/>
                <w:lang w:val="en-US" w:eastAsia="zh-CN" w:bidi="ar-SA"/>
              </w:rPr>
              <w:t xml:space="preserve">。黄河沿化隆回族自治县境南缘自西向东流过，流程达 </w:t>
            </w:r>
            <w:r>
              <w:rPr>
                <w:rFonts w:hint="default" w:ascii="Times New Roman" w:hAnsi="Times New Roman" w:eastAsia="Times New Roman" w:cs="Times New Roman"/>
                <w:color w:val="auto"/>
                <w:sz w:val="24"/>
                <w:szCs w:val="24"/>
                <w:lang w:val="en-US" w:eastAsia="zh-CN" w:bidi="ar-SA"/>
              </w:rPr>
              <w:t xml:space="preserve">168 </w:t>
            </w:r>
            <w:r>
              <w:rPr>
                <w:rFonts w:hint="default" w:ascii="Times New Roman" w:hAnsi="Times New Roman" w:eastAsia="宋体" w:cs="Times New Roman"/>
                <w:color w:val="auto"/>
                <w:sz w:val="24"/>
                <w:szCs w:val="24"/>
                <w:lang w:val="en-US" w:eastAsia="zh-CN" w:bidi="ar-SA"/>
              </w:rPr>
              <w:t>公里。黄</w:t>
            </w:r>
            <w:r>
              <w:rPr>
                <w:rFonts w:hint="default" w:ascii="Times New Roman" w:hAnsi="Times New Roman" w:eastAsia="宋体" w:cs="Times New Roman"/>
                <w:color w:val="auto"/>
                <w:spacing w:val="-2"/>
                <w:sz w:val="24"/>
                <w:szCs w:val="24"/>
                <w:lang w:val="en-US" w:eastAsia="zh-CN" w:bidi="ar-SA"/>
              </w:rPr>
              <w:t>河水量充沛，水流湍急，河床窄，落差大。</w:t>
            </w:r>
          </w:p>
          <w:p>
            <w:pPr>
              <w:adjustRightInd w:val="0"/>
              <w:snapToGrid w:val="0"/>
              <w:spacing w:line="360" w:lineRule="auto"/>
              <w:ind w:firstLine="472"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pacing w:val="-2"/>
                <w:sz w:val="24"/>
                <w:szCs w:val="24"/>
                <w:lang w:val="en-US" w:eastAsia="zh-CN" w:bidi="ar-SA"/>
              </w:rPr>
              <w:t>项目区位于化隆县甘都镇桥头村，项目区涉及的沟道集水面积较小，桥头沟</w:t>
            </w:r>
            <w:r>
              <w:rPr>
                <w:rFonts w:hint="default" w:ascii="Times New Roman" w:hAnsi="Times New Roman" w:eastAsia="宋体" w:cs="Times New Roman"/>
                <w:color w:val="auto"/>
                <w:spacing w:val="-18"/>
                <w:sz w:val="24"/>
                <w:szCs w:val="24"/>
                <w:lang w:val="en-US" w:eastAsia="zh-CN" w:bidi="ar-SA"/>
              </w:rPr>
              <w:t xml:space="preserve">长 </w:t>
            </w:r>
            <w:r>
              <w:rPr>
                <w:rFonts w:hint="default" w:ascii="Times New Roman" w:hAnsi="Times New Roman" w:eastAsia="Times New Roman" w:cs="Times New Roman"/>
                <w:color w:val="auto"/>
                <w:spacing w:val="-2"/>
                <w:sz w:val="24"/>
                <w:szCs w:val="24"/>
                <w:lang w:val="en-US" w:eastAsia="zh-CN" w:bidi="ar-SA"/>
              </w:rPr>
              <w:t>5.05km</w:t>
            </w:r>
            <w:r>
              <w:rPr>
                <w:rFonts w:hint="default" w:ascii="Times New Roman" w:hAnsi="Times New Roman" w:eastAsia="宋体" w:cs="Times New Roman"/>
                <w:color w:val="auto"/>
                <w:spacing w:val="-8"/>
                <w:sz w:val="24"/>
                <w:szCs w:val="24"/>
                <w:lang w:val="en-US" w:eastAsia="zh-CN" w:bidi="ar-SA"/>
              </w:rPr>
              <w:t xml:space="preserve">，流域面积 </w:t>
            </w:r>
            <w:r>
              <w:rPr>
                <w:rFonts w:hint="default" w:ascii="Times New Roman" w:hAnsi="Times New Roman" w:eastAsia="Times New Roman" w:cs="Times New Roman"/>
                <w:color w:val="auto"/>
                <w:spacing w:val="-2"/>
                <w:sz w:val="24"/>
                <w:szCs w:val="24"/>
                <w:lang w:val="en-US" w:eastAsia="zh-CN" w:bidi="ar-SA"/>
              </w:rPr>
              <w:t>7.82km</w:t>
            </w:r>
            <w:r>
              <w:rPr>
                <w:rFonts w:hint="default" w:ascii="Times New Roman" w:hAnsi="Times New Roman" w:eastAsia="Times New Roman" w:cs="Times New Roman"/>
                <w:color w:val="auto"/>
                <w:spacing w:val="-2"/>
                <w:sz w:val="24"/>
                <w:szCs w:val="24"/>
                <w:vertAlign w:val="superscript"/>
                <w:lang w:val="en-US" w:eastAsia="zh-CN" w:bidi="ar-SA"/>
              </w:rPr>
              <w:t>2</w:t>
            </w:r>
            <w:r>
              <w:rPr>
                <w:rFonts w:hint="default" w:ascii="Times New Roman" w:hAnsi="Times New Roman" w:eastAsia="宋体" w:cs="Times New Roman"/>
                <w:color w:val="auto"/>
                <w:spacing w:val="-6"/>
                <w:sz w:val="24"/>
                <w:szCs w:val="24"/>
                <w:vertAlign w:val="baseline"/>
                <w:lang w:val="en-US" w:eastAsia="zh-CN" w:bidi="ar-SA"/>
              </w:rPr>
              <w:t xml:space="preserve">，沟道平均比降为 </w:t>
            </w:r>
            <w:r>
              <w:rPr>
                <w:rFonts w:hint="default" w:ascii="Times New Roman" w:hAnsi="Times New Roman" w:eastAsia="Times New Roman" w:cs="Times New Roman"/>
                <w:color w:val="auto"/>
                <w:spacing w:val="-2"/>
                <w:sz w:val="24"/>
                <w:szCs w:val="24"/>
                <w:vertAlign w:val="baseline"/>
                <w:lang w:val="en-US" w:eastAsia="zh-CN" w:bidi="ar-SA"/>
              </w:rPr>
              <w:t>0.16</w:t>
            </w:r>
            <w:r>
              <w:rPr>
                <w:rFonts w:hint="default" w:ascii="Times New Roman" w:hAnsi="Times New Roman" w:eastAsia="宋体" w:cs="Times New Roman"/>
                <w:color w:val="auto"/>
                <w:spacing w:val="-3"/>
                <w:sz w:val="24"/>
                <w:szCs w:val="24"/>
                <w:vertAlign w:val="baseline"/>
                <w:lang w:val="en-US" w:eastAsia="zh-CN" w:bidi="ar-SA"/>
              </w:rPr>
              <w:t>％。洪水主要为暴雨形成</w:t>
            </w:r>
            <w:r>
              <w:rPr>
                <w:rFonts w:hint="default" w:ascii="Times New Roman" w:hAnsi="Times New Roman" w:cs="Times New Roman"/>
                <w:color w:val="auto"/>
                <w:spacing w:val="-3"/>
                <w:sz w:val="24"/>
                <w:szCs w:val="24"/>
                <w:vertAlign w:val="baseline"/>
                <w:lang w:val="en-US" w:eastAsia="zh-CN" w:bidi="ar-SA"/>
              </w:rPr>
              <w:t>，</w:t>
            </w:r>
            <w:r>
              <w:rPr>
                <w:rFonts w:hint="default" w:ascii="Times New Roman" w:hAnsi="Times New Roman" w:eastAsia="宋体" w:cs="Times New Roman"/>
                <w:color w:val="auto"/>
                <w:spacing w:val="-4"/>
                <w:sz w:val="24"/>
                <w:szCs w:val="24"/>
                <w:lang w:val="en-US" w:eastAsia="zh-CN" w:bidi="ar-SA"/>
              </w:rPr>
              <w:t>暴雨发生季节也为洪水发生季节，其特点为暴涨暴落，峰型尖瘦，峰高量小，历</w:t>
            </w:r>
            <w:r>
              <w:rPr>
                <w:rFonts w:hint="default" w:ascii="Times New Roman" w:hAnsi="Times New Roman" w:eastAsia="宋体" w:cs="Times New Roman"/>
                <w:color w:val="auto"/>
                <w:spacing w:val="-2"/>
                <w:sz w:val="24"/>
                <w:szCs w:val="24"/>
                <w:lang w:val="en-US" w:eastAsia="zh-CN" w:bidi="ar-SA"/>
              </w:rPr>
              <w:t xml:space="preserve">时短。项目区设计断面以上流域特征值见表 </w:t>
            </w:r>
            <w:r>
              <w:rPr>
                <w:rFonts w:hint="default" w:ascii="Times New Roman" w:hAnsi="Times New Roman" w:eastAsia="Times New Roman" w:cs="Times New Roman"/>
                <w:color w:val="auto"/>
                <w:sz w:val="24"/>
                <w:szCs w:val="24"/>
                <w:lang w:val="en-US" w:eastAsia="zh-CN" w:bidi="ar-SA"/>
              </w:rPr>
              <w:t>2-1</w:t>
            </w:r>
            <w:r>
              <w:rPr>
                <w:rFonts w:hint="default" w:ascii="Times New Roman" w:hAnsi="Times New Roman" w:eastAsia="宋体" w:cs="Times New Roman"/>
                <w:color w:val="auto"/>
                <w:spacing w:val="-3"/>
                <w:sz w:val="24"/>
                <w:szCs w:val="24"/>
                <w:lang w:val="en-US" w:eastAsia="zh-CN" w:bidi="ar-SA"/>
              </w:rPr>
              <w:t>。水系图详见图</w:t>
            </w:r>
            <w:r>
              <w:rPr>
                <w:rFonts w:hint="default" w:ascii="Times New Roman" w:hAnsi="Times New Roman" w:cs="Times New Roman"/>
                <w:color w:val="auto"/>
                <w:spacing w:val="-3"/>
                <w:sz w:val="24"/>
                <w:szCs w:val="24"/>
                <w:lang w:val="en-US" w:eastAsia="zh-CN" w:bidi="ar-SA"/>
              </w:rPr>
              <w:t>3-1</w:t>
            </w:r>
            <w:r>
              <w:rPr>
                <w:rFonts w:hint="default" w:ascii="Times New Roman" w:hAnsi="Times New Roman" w:eastAsia="宋体" w:cs="Times New Roman"/>
                <w:color w:val="auto"/>
                <w:sz w:val="24"/>
                <w:szCs w:val="24"/>
                <w:lang w:val="en-US" w:eastAsia="zh-CN" w:bidi="ar-SA"/>
              </w:rPr>
              <w:t>。</w:t>
            </w:r>
          </w:p>
          <w:p>
            <w:pPr>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表3-1  项目区沟道流域特征值表</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7"/>
              <w:gridCol w:w="1738"/>
              <w:gridCol w:w="1332"/>
              <w:gridCol w:w="1151"/>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断面名称</w:t>
                  </w:r>
                </w:p>
              </w:tc>
              <w:tc>
                <w:tcPr>
                  <w:tcW w:w="1154" w:type="pct"/>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集水面积（km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884" w:type="pct"/>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长度 km</w:t>
                  </w:r>
                </w:p>
              </w:tc>
              <w:tc>
                <w:tcPr>
                  <w:tcW w:w="764" w:type="pct"/>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比降%</w:t>
                  </w:r>
                </w:p>
              </w:tc>
              <w:tc>
                <w:tcPr>
                  <w:tcW w:w="1335" w:type="pct"/>
                  <w:vAlign w:val="center"/>
                </w:tcPr>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桥头沟</w:t>
                  </w:r>
                </w:p>
              </w:tc>
              <w:tc>
                <w:tcPr>
                  <w:tcW w:w="1154" w:type="pct"/>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7.82</w:t>
                  </w:r>
                </w:p>
              </w:tc>
              <w:tc>
                <w:tcPr>
                  <w:tcW w:w="884" w:type="pct"/>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5.05</w:t>
                  </w:r>
                </w:p>
              </w:tc>
              <w:tc>
                <w:tcPr>
                  <w:tcW w:w="764" w:type="pct"/>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0.16</w:t>
                  </w:r>
                </w:p>
              </w:tc>
              <w:tc>
                <w:tcPr>
                  <w:tcW w:w="1335" w:type="pct"/>
                  <w:tcBorders>
                    <w:bottom w:val="single" w:color="000000" w:sz="2" w:space="0"/>
                  </w:tcBorders>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排入黄河</w:t>
                  </w:r>
                </w:p>
              </w:tc>
            </w:tr>
          </w:tbl>
          <w:p>
            <w:pPr>
              <w:adjustRightInd w:val="0"/>
              <w:snapToGrid w:val="0"/>
              <w:spacing w:beforeLines="50"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4、生态环境现状</w:t>
            </w:r>
          </w:p>
          <w:p>
            <w:pPr>
              <w:adjustRightInd w:val="0"/>
              <w:snapToGrid w:val="0"/>
              <w:spacing w:line="360" w:lineRule="auto"/>
              <w:ind w:firstLine="482" w:firstLineChars="200"/>
              <w:rPr>
                <w:rFonts w:hint="default" w:ascii="Times New Roman" w:hAnsi="Times New Roman" w:cs="Times New Roman"/>
                <w:color w:val="auto"/>
                <w:kern w:val="0"/>
              </w:rPr>
            </w:pPr>
            <w:r>
              <w:rPr>
                <w:rFonts w:hint="default" w:ascii="Times New Roman" w:hAnsi="Times New Roman" w:cs="Times New Roman"/>
                <w:b/>
                <w:color w:val="auto"/>
                <w:kern w:val="0"/>
              </w:rPr>
              <w:t>（1）土地利用现状</w:t>
            </w:r>
          </w:p>
          <w:p>
            <w:pPr>
              <w:adjustRightInd w:val="0"/>
              <w:snapToGrid w:val="0"/>
              <w:spacing w:line="360" w:lineRule="auto"/>
              <w:ind w:firstLine="480" w:firstLineChars="200"/>
              <w:rPr>
                <w:rFonts w:hint="default" w:ascii="Times New Roman" w:hAnsi="Times New Roman" w:cs="Times New Roman"/>
                <w:b/>
                <w:color w:val="auto"/>
                <w:kern w:val="0"/>
              </w:rPr>
            </w:pPr>
            <w:r>
              <w:rPr>
                <w:rFonts w:hint="default" w:ascii="Times New Roman" w:hAnsi="Times New Roman" w:cs="Times New Roman"/>
                <w:color w:val="auto"/>
                <w:kern w:val="0"/>
              </w:rPr>
              <w:t>本工程沿线及周边土地利用现状涉及耕地、其他草地以及</w:t>
            </w:r>
            <w:r>
              <w:rPr>
                <w:rFonts w:hint="default" w:ascii="Times New Roman" w:hAnsi="Times New Roman" w:cs="Times New Roman"/>
                <w:color w:val="auto"/>
                <w:kern w:val="0"/>
                <w:lang w:val="en-US" w:eastAsia="zh-CN"/>
              </w:rPr>
              <w:t>内陆滩涂</w:t>
            </w:r>
            <w:r>
              <w:rPr>
                <w:rFonts w:hint="default" w:ascii="Times New Roman" w:hAnsi="Times New Roman" w:cs="Times New Roman"/>
                <w:color w:val="auto"/>
                <w:kern w:val="0"/>
              </w:rPr>
              <w:t>。</w:t>
            </w:r>
          </w:p>
          <w:p>
            <w:pPr>
              <w:adjustRightInd w:val="0"/>
              <w:snapToGrid w:val="0"/>
              <w:spacing w:line="360" w:lineRule="auto"/>
              <w:ind w:firstLine="482" w:firstLineChars="200"/>
              <w:rPr>
                <w:rFonts w:hint="default" w:ascii="Times New Roman" w:hAnsi="Times New Roman" w:cs="Times New Roman"/>
                <w:b/>
                <w:color w:val="auto"/>
                <w:kern w:val="0"/>
              </w:rPr>
            </w:pPr>
            <w:r>
              <w:rPr>
                <w:rFonts w:hint="default" w:ascii="Times New Roman" w:hAnsi="Times New Roman" w:cs="Times New Roman"/>
                <w:b/>
                <w:color w:val="auto"/>
                <w:kern w:val="0"/>
              </w:rPr>
              <w:t>（2）生态系统</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本工程所涉及的生态系统主要是农田生态系统和长芒草赖草猪毛蒿草原生态系统。农田生态系统主要作物为小麦、豌豆、</w:t>
            </w:r>
            <w:r>
              <w:rPr>
                <w:rFonts w:hint="default" w:ascii="Times New Roman" w:hAnsi="Times New Roman" w:cs="Times New Roman"/>
                <w:color w:val="auto"/>
                <w:kern w:val="0"/>
                <w:lang w:val="en-US" w:eastAsia="zh-CN"/>
              </w:rPr>
              <w:t>马铃薯等</w:t>
            </w:r>
            <w:r>
              <w:rPr>
                <w:rFonts w:hint="default" w:ascii="Times New Roman" w:hAnsi="Times New Roman" w:cs="Times New Roman"/>
                <w:color w:val="auto"/>
                <w:kern w:val="0"/>
              </w:rPr>
              <w:t>，生态系统服务功能为提供粮食；长芒草赖草猪毛蒿草原生态系统，主要植被有</w:t>
            </w:r>
            <w:r>
              <w:rPr>
                <w:rFonts w:hint="default" w:ascii="Times New Roman" w:hAnsi="Times New Roman" w:cs="Times New Roman"/>
                <w:color w:val="auto"/>
                <w:spacing w:val="-2"/>
              </w:rPr>
              <w:t>紫花针茅、小蒿草、矮蒿草、线叶蒿草、</w:t>
            </w:r>
            <w:r>
              <w:rPr>
                <w:rFonts w:hint="default" w:ascii="Times New Roman" w:hAnsi="Times New Roman" w:cs="Times New Roman"/>
                <w:color w:val="auto"/>
                <w:spacing w:val="-2"/>
                <w:lang w:val="en-US" w:eastAsia="zh-CN"/>
              </w:rPr>
              <w:t>蔊菜、</w:t>
            </w:r>
            <w:r>
              <w:rPr>
                <w:rFonts w:hint="default" w:ascii="Times New Roman" w:hAnsi="Times New Roman" w:cs="Times New Roman"/>
                <w:color w:val="auto"/>
                <w:spacing w:val="-2"/>
              </w:rPr>
              <w:t>藏蒿草为主的高寒草甸植被</w:t>
            </w:r>
            <w:r>
              <w:rPr>
                <w:rFonts w:hint="default" w:ascii="Times New Roman" w:hAnsi="Times New Roman" w:cs="Times New Roman"/>
                <w:color w:val="auto"/>
                <w:kern w:val="0"/>
              </w:rPr>
              <w:t>，主要生态系统服务功能为水土保持。</w:t>
            </w:r>
          </w:p>
          <w:p>
            <w:pPr>
              <w:adjustRightInd w:val="0"/>
              <w:snapToGrid w:val="0"/>
              <w:spacing w:line="360" w:lineRule="auto"/>
              <w:ind w:firstLine="482" w:firstLineChars="200"/>
              <w:rPr>
                <w:rFonts w:hint="default" w:ascii="Times New Roman" w:hAnsi="Times New Roman" w:cs="Times New Roman"/>
                <w:b/>
                <w:color w:val="auto"/>
                <w:kern w:val="0"/>
              </w:rPr>
            </w:pPr>
            <w:r>
              <w:rPr>
                <w:rFonts w:hint="default" w:ascii="Times New Roman" w:hAnsi="Times New Roman" w:cs="Times New Roman"/>
                <w:b/>
                <w:color w:val="auto"/>
                <w:kern w:val="0"/>
              </w:rPr>
              <w:t>（3）陆生生态</w:t>
            </w:r>
          </w:p>
          <w:p>
            <w:pPr>
              <w:adjustRightInd w:val="0"/>
              <w:snapToGrid w:val="0"/>
              <w:spacing w:line="360" w:lineRule="auto"/>
              <w:ind w:firstLine="48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本工程所穿越区域无珍稀濒危、受保护的植物和野生动物分布，陆生生态环境一般。本工程所穿越区土壤主要是暗栗钙土和黑栗钙土。</w:t>
            </w:r>
          </w:p>
          <w:p>
            <w:pPr>
              <w:adjustRightInd w:val="0"/>
              <w:snapToGrid w:val="0"/>
              <w:spacing w:line="360" w:lineRule="auto"/>
              <w:ind w:firstLine="480" w:firstLineChars="200"/>
              <w:rPr>
                <w:rFonts w:hint="default" w:ascii="Times New Roman" w:hAnsi="Times New Roman" w:cs="Times New Roman"/>
                <w:bCs/>
                <w:color w:val="auto"/>
                <w:kern w:val="0"/>
                <w:lang w:eastAsia="zh-CN"/>
              </w:rPr>
            </w:pPr>
            <w:r>
              <w:rPr>
                <w:rFonts w:hint="default" w:ascii="Times New Roman" w:hAnsi="Times New Roman" w:cs="Times New Roman"/>
                <w:bCs/>
                <w:color w:val="auto"/>
                <w:kern w:val="0"/>
              </w:rPr>
              <w:t>①植被：</w:t>
            </w:r>
            <w:r>
              <w:rPr>
                <w:rFonts w:hint="default" w:ascii="Times New Roman" w:hAnsi="Times New Roman" w:cs="Times New Roman"/>
                <w:color w:val="auto"/>
                <w:spacing w:val="-2"/>
              </w:rPr>
              <w:t>本项目区域主要为高寒草地，区域植被种类组成和结构较为简单，植</w:t>
            </w:r>
            <w:r>
              <w:rPr>
                <w:rFonts w:hint="default" w:ascii="Times New Roman" w:hAnsi="Times New Roman" w:cs="Times New Roman"/>
                <w:color w:val="auto"/>
                <w:spacing w:val="-10"/>
              </w:rPr>
              <w:t xml:space="preserve">被盖度为 </w:t>
            </w:r>
            <w:r>
              <w:rPr>
                <w:rFonts w:hint="eastAsia" w:eastAsia="宋体" w:cs="Times New Roman"/>
                <w:color w:val="auto"/>
                <w:spacing w:val="-2"/>
                <w:lang w:val="en-US" w:eastAsia="zh-CN"/>
              </w:rPr>
              <w:t>1</w:t>
            </w:r>
            <w:r>
              <w:rPr>
                <w:rFonts w:hint="default" w:ascii="Times New Roman" w:hAnsi="Times New Roman" w:eastAsia="Times New Roman" w:cs="Times New Roman"/>
                <w:color w:val="auto"/>
                <w:spacing w:val="-2"/>
              </w:rPr>
              <w:t>0%</w:t>
            </w:r>
            <w:r>
              <w:rPr>
                <w:rFonts w:hint="default" w:ascii="Times New Roman" w:hAnsi="Times New Roman" w:cs="Times New Roman"/>
                <w:color w:val="auto"/>
                <w:spacing w:val="-2"/>
              </w:rPr>
              <w:t>，项目区植被类型主要以紫花针茅、小蒿草、矮蒿草、线叶蒿草、藏蒿草为主的高寒草甸植被。</w:t>
            </w:r>
            <w:r>
              <w:rPr>
                <w:rFonts w:hint="default" w:ascii="Times New Roman" w:hAnsi="Times New Roman" w:cs="Times New Roman"/>
                <w:bCs/>
                <w:color w:val="auto"/>
                <w:kern w:val="0"/>
              </w:rPr>
              <w:t>人工栽培植被主要有小麦、豌豆、马铃薯等常见农作物、杨树常见树种</w:t>
            </w:r>
            <w:r>
              <w:rPr>
                <w:rFonts w:hint="default" w:ascii="Times New Roman" w:hAnsi="Times New Roman" w:cs="Times New Roman"/>
                <w:bCs/>
                <w:color w:val="auto"/>
                <w:kern w:val="0"/>
                <w:lang w:eastAsia="zh-CN"/>
              </w:rPr>
              <w:t>。</w:t>
            </w:r>
          </w:p>
          <w:p>
            <w:pPr>
              <w:adjustRightInd w:val="0"/>
              <w:snapToGrid w:val="0"/>
              <w:spacing w:line="360" w:lineRule="auto"/>
              <w:ind w:firstLine="48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②野生动物：通过现场踏勘和公众咨询，可知本工程所穿越区域野生动物有野兔、乌鸦、麻雀等。</w:t>
            </w:r>
          </w:p>
          <w:p>
            <w:pPr>
              <w:adjustRightInd w:val="0"/>
              <w:snapToGrid w:val="0"/>
              <w:spacing w:line="360" w:lineRule="auto"/>
              <w:ind w:firstLine="482" w:firstLineChars="200"/>
              <w:rPr>
                <w:rFonts w:hint="default" w:ascii="Times New Roman" w:hAnsi="Times New Roman" w:cs="Times New Roman"/>
                <w:bCs/>
                <w:color w:val="auto"/>
                <w:kern w:val="0"/>
              </w:rPr>
            </w:pPr>
            <w:r>
              <w:rPr>
                <w:rFonts w:hint="default" w:ascii="Times New Roman" w:hAnsi="Times New Roman" w:cs="Times New Roman"/>
                <w:b/>
                <w:bCs/>
                <w:color w:val="auto"/>
                <w:kern w:val="0"/>
              </w:rPr>
              <w:t>（4）水生生态</w:t>
            </w:r>
          </w:p>
          <w:p>
            <w:pPr>
              <w:pStyle w:val="53"/>
              <w:rPr>
                <w:rFonts w:hint="default" w:ascii="Times New Roman" w:hAnsi="Times New Roman" w:cs="Times New Roman"/>
                <w:bCs/>
                <w:color w:val="auto"/>
                <w:kern w:val="0"/>
                <w:lang w:eastAsia="zh-CN"/>
              </w:rPr>
            </w:pPr>
            <w:r>
              <w:rPr>
                <w:rFonts w:hint="default" w:ascii="Times New Roman" w:hAnsi="Times New Roman" w:cs="Times New Roman"/>
                <w:bCs/>
                <w:color w:val="auto"/>
                <w:kern w:val="0"/>
                <w:lang w:eastAsia="zh-CN"/>
              </w:rPr>
              <w:t>本工程所涉及的</w:t>
            </w:r>
            <w:r>
              <w:rPr>
                <w:rFonts w:hint="default" w:ascii="Times New Roman" w:hAnsi="Times New Roman" w:cs="Times New Roman"/>
                <w:bCs/>
                <w:color w:val="auto"/>
                <w:kern w:val="0"/>
                <w:lang w:val="en-US" w:eastAsia="zh-CN"/>
              </w:rPr>
              <w:t>桥头沟</w:t>
            </w:r>
            <w:r>
              <w:rPr>
                <w:rFonts w:hint="default" w:ascii="Times New Roman" w:hAnsi="Times New Roman" w:cs="Times New Roman"/>
                <w:color w:val="auto"/>
                <w:spacing w:val="-14"/>
              </w:rPr>
              <w:t>属于季节性河道，除夏季洪水来临时有水，其余季节均属于干沟</w:t>
            </w:r>
            <w:r>
              <w:rPr>
                <w:rFonts w:hint="default" w:ascii="Times New Roman" w:hAnsi="Times New Roman" w:cs="Times New Roman"/>
                <w:color w:val="auto"/>
                <w:spacing w:val="-14"/>
                <w:lang w:eastAsia="zh-CN"/>
              </w:rPr>
              <w:t>，</w:t>
            </w:r>
            <w:r>
              <w:rPr>
                <w:rFonts w:hint="default" w:ascii="Times New Roman" w:hAnsi="Times New Roman" w:cs="Times New Roman"/>
                <w:color w:val="auto"/>
                <w:spacing w:val="-14"/>
                <w:lang w:val="en-US" w:eastAsia="zh-CN"/>
              </w:rPr>
              <w:t>无水生生态。</w:t>
            </w:r>
          </w:p>
          <w:p>
            <w:pPr>
              <w:adjustRightInd w:val="0"/>
              <w:snapToGrid w:val="0"/>
              <w:spacing w:line="360" w:lineRule="auto"/>
              <w:ind w:firstLine="482" w:firstLineChars="200"/>
              <w:rPr>
                <w:rFonts w:hint="default" w:ascii="Times New Roman" w:hAnsi="Times New Roman" w:cs="Times New Roman"/>
                <w:b/>
                <w:color w:val="auto"/>
                <w:kern w:val="0"/>
              </w:rPr>
            </w:pPr>
            <w:r>
              <w:rPr>
                <w:rFonts w:hint="default" w:ascii="Times New Roman" w:hAnsi="Times New Roman" w:cs="Times New Roman"/>
                <w:b/>
                <w:color w:val="auto"/>
                <w:kern w:val="0"/>
              </w:rPr>
              <w:t>（5）敏感目标</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经调查和现场踏勘，可知本工程建设影响范围内无特殊敏感区和重要敏感区分布。</w:t>
            </w:r>
          </w:p>
          <w:p>
            <w:pPr>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5、环境空气质量现状</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工程所在区域属于海东市化隆回族自治县辖区，评价区大气环境质量现状</w:t>
            </w:r>
            <w:r>
              <w:rPr>
                <w:rFonts w:hint="default" w:ascii="Times New Roman" w:hAnsi="Times New Roman" w:cs="Times New Roman"/>
                <w:color w:val="auto"/>
                <w:lang w:val="en-US" w:eastAsia="zh-CN"/>
              </w:rPr>
              <w:t>采用化隆县2023年1-12月空气质量统计表（实况）的监测数据评价区域达标情况的依据，评价因子为</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w:t>
            </w:r>
            <w:r>
              <w:rPr>
                <w:rFonts w:hint="default" w:ascii="Times New Roman" w:hAnsi="Times New Roman" w:cs="Times New Roman"/>
                <w:color w:val="auto"/>
                <w:lang w:eastAsia="zh-CN"/>
              </w:rPr>
              <w:t>、</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项目所在区域公布的环境空气质量现状评价详见表3-2。</w:t>
            </w:r>
          </w:p>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表3-2  项目区域环境空气质量现状引用数据情况表  单位：µg/m3（CO为mg/m3）</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8"/>
              <w:gridCol w:w="1564"/>
              <w:gridCol w:w="1243"/>
              <w:gridCol w:w="1102"/>
              <w:gridCol w:w="1221"/>
              <w:gridCol w:w="14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048"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年平均指标</w:t>
                  </w:r>
                </w:p>
              </w:tc>
              <w:tc>
                <w:tcPr>
                  <w:tcW w:w="833"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p>
              </w:tc>
              <w:tc>
                <w:tcPr>
                  <w:tcW w:w="738"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c>
                <w:tcPr>
                  <w:tcW w:w="818"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944" w:type="pct"/>
                  <w:vAlign w:val="center"/>
                </w:tcPr>
                <w:p>
                  <w:pPr>
                    <w:autoSpaceDE w:val="0"/>
                    <w:autoSpaceDN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048" w:type="pct"/>
                  <w:vMerge w:val="restar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18.33</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048" w:type="pct"/>
                  <w:vMerge w:val="continue"/>
                  <w:vAlign w:val="center"/>
                </w:tcPr>
                <w:p>
                  <w:pPr>
                    <w:autoSpaceDE w:val="0"/>
                    <w:autoSpaceDN w:val="0"/>
                    <w:jc w:val="center"/>
                    <w:rPr>
                      <w:rFonts w:hint="default" w:ascii="Times New Roman" w:hAnsi="Times New Roman" w:cs="Times New Roman"/>
                      <w:color w:val="auto"/>
                      <w:sz w:val="21"/>
                      <w:szCs w:val="21"/>
                    </w:rPr>
                  </w:pP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42.5</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048" w:type="pct"/>
                  <w:vMerge w:val="continue"/>
                  <w:vAlign w:val="center"/>
                </w:tcPr>
                <w:p>
                  <w:pPr>
                    <w:autoSpaceDE w:val="0"/>
                    <w:autoSpaceDN w:val="0"/>
                    <w:jc w:val="center"/>
                    <w:rPr>
                      <w:rFonts w:hint="default" w:ascii="Times New Roman" w:hAnsi="Times New Roman" w:cs="Times New Roman"/>
                      <w:color w:val="auto"/>
                      <w:sz w:val="21"/>
                      <w:szCs w:val="21"/>
                    </w:rPr>
                  </w:pP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53</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75.71</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048" w:type="pct"/>
                  <w:vMerge w:val="continue"/>
                  <w:vAlign w:val="center"/>
                </w:tcPr>
                <w:p>
                  <w:pPr>
                    <w:autoSpaceDE w:val="0"/>
                    <w:autoSpaceDN w:val="0"/>
                    <w:jc w:val="center"/>
                    <w:rPr>
                      <w:rFonts w:hint="default" w:ascii="Times New Roman" w:hAnsi="Times New Roman" w:cs="Times New Roman"/>
                      <w:color w:val="auto"/>
                      <w:sz w:val="21"/>
                      <w:szCs w:val="21"/>
                    </w:rPr>
                  </w:pP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77.14</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04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8h平均质量浓度</w:t>
                  </w: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27</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79.38</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15"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04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百分位日平均</w:t>
                  </w:r>
                </w:p>
              </w:tc>
              <w:tc>
                <w:tcPr>
                  <w:tcW w:w="833"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38"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18" w:type="pct"/>
                  <w:vAlign w:val="center"/>
                </w:tcPr>
                <w:p>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944" w:type="pct"/>
                  <w:vAlign w:val="center"/>
                </w:tcPr>
                <w:p>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adjustRightInd w:val="0"/>
              <w:snapToGri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由上表可以看出，工程所在区域202</w:t>
            </w:r>
            <w:r>
              <w:rPr>
                <w:rFonts w:hint="default" w:ascii="Times New Roman" w:hAnsi="Times New Roman" w:cs="Times New Roman"/>
                <w:color w:val="auto"/>
                <w:lang w:val="en-US" w:eastAsia="zh-CN"/>
              </w:rPr>
              <w:t>3</w:t>
            </w:r>
            <w:r>
              <w:rPr>
                <w:rFonts w:hint="default" w:ascii="Times New Roman" w:hAnsi="Times New Roman" w:cs="Times New Roman"/>
                <w:color w:val="auto"/>
              </w:rPr>
              <w:t>年环境空气中：SO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、CO和O</w:t>
            </w:r>
            <w:r>
              <w:rPr>
                <w:rFonts w:hint="default" w:ascii="Times New Roman" w:hAnsi="Times New Roman" w:cs="Times New Roman"/>
                <w:color w:val="auto"/>
                <w:vertAlign w:val="subscript"/>
              </w:rPr>
              <w:t>3</w:t>
            </w:r>
            <w:r>
              <w:rPr>
                <w:rFonts w:hint="default" w:ascii="Times New Roman" w:hAnsi="Times New Roman" w:cs="Times New Roman"/>
                <w:color w:val="auto"/>
              </w:rPr>
              <w:t>均满足《环境空气质量标准》（GB3095-2012）及其修改清单（生态环境部2018年第29号）中的二级标准限值要求，为达标区。</w:t>
            </w:r>
          </w:p>
          <w:p>
            <w:pPr>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6、地表水环境质量现状</w:t>
            </w:r>
          </w:p>
          <w:p>
            <w:pPr>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pict>
                <v:rect id="墨迹 197" o:spid="_x0000_s1088" o:spt="1" style="position:absolute;left:0pt;margin-left:213.1pt;margin-top:3.6pt;height:0pt;width:0.05pt;z-index:251659264;mso-width-relative:margin;mso-height-relative:margin;" filled="f" stroked="t" coordsize="21600,21600">
                  <v:path/>
                  <v:fill on="f" focussize="0,0"/>
                  <v:stroke weight="0.708661417322835pt" color="#E71224" endcap="round"/>
                  <v:imagedata o:title=""/>
                  <o:lock v:ext="edit" rotation="t" text="t" aspectratio="t"/>
                  <o:ink i="AB0dAgICAxBIEETnpZABRRlGGVcNAAAACgUCAQACUA==&#10;"/>
                </v:rect>
              </w:pict>
            </w:r>
            <w:r>
              <w:rPr>
                <w:rFonts w:hint="default" w:ascii="Times New Roman" w:hAnsi="Times New Roman" w:cs="Times New Roman"/>
                <w:color w:val="auto"/>
                <w:kern w:val="0"/>
              </w:rPr>
              <w:t>本工程所涉及的</w:t>
            </w:r>
            <w:r>
              <w:rPr>
                <w:rFonts w:hint="default" w:ascii="Times New Roman" w:hAnsi="Times New Roman" w:cs="Times New Roman"/>
                <w:color w:val="auto"/>
                <w:kern w:val="0"/>
                <w:lang w:val="en-US" w:eastAsia="zh-CN"/>
              </w:rPr>
              <w:t>桥头沟</w:t>
            </w:r>
            <w:r>
              <w:rPr>
                <w:rFonts w:hint="default" w:ascii="Times New Roman" w:hAnsi="Times New Roman" w:cs="Times New Roman"/>
                <w:color w:val="auto"/>
                <w:kern w:val="0"/>
              </w:rPr>
              <w:t>为</w:t>
            </w:r>
            <w:r>
              <w:rPr>
                <w:rFonts w:hint="default" w:ascii="Times New Roman" w:hAnsi="Times New Roman" w:cs="Times New Roman"/>
                <w:color w:val="auto"/>
                <w:spacing w:val="-14"/>
              </w:rPr>
              <w:t>季节性河道</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桥头沟沟道内</w:t>
            </w:r>
            <w:r>
              <w:rPr>
                <w:rFonts w:hint="default" w:ascii="Times New Roman" w:hAnsi="Times New Roman" w:cs="Times New Roman"/>
                <w:color w:val="auto"/>
                <w:kern w:val="0"/>
              </w:rPr>
              <w:t>无排污口，</w:t>
            </w:r>
            <w:r>
              <w:rPr>
                <w:rFonts w:hint="default" w:ascii="Times New Roman" w:hAnsi="Times New Roman" w:cs="Times New Roman"/>
                <w:color w:val="auto"/>
                <w:kern w:val="0"/>
                <w:lang w:val="en-US" w:eastAsia="zh-CN"/>
              </w:rPr>
              <w:t>沟道</w:t>
            </w:r>
            <w:r>
              <w:rPr>
                <w:rFonts w:hint="default" w:ascii="Times New Roman" w:hAnsi="Times New Roman" w:cs="Times New Roman"/>
                <w:color w:val="auto"/>
                <w:kern w:val="0"/>
              </w:rPr>
              <w:t>沿线无水污染排放企业，</w:t>
            </w:r>
            <w:r>
              <w:rPr>
                <w:rFonts w:hint="eastAsia" w:cs="Times New Roman"/>
                <w:color w:val="auto"/>
                <w:kern w:val="0"/>
                <w:lang w:val="en-US" w:eastAsia="zh-CN"/>
              </w:rPr>
              <w:t>沟道沿线村民污水禁止排入沟道内；桥头沟洪水</w:t>
            </w:r>
            <w:r>
              <w:rPr>
                <w:rFonts w:hint="default" w:ascii="Times New Roman" w:hAnsi="Times New Roman" w:cs="Times New Roman"/>
                <w:color w:val="auto"/>
                <w:kern w:val="0"/>
                <w:lang w:val="en-US" w:eastAsia="zh-CN"/>
              </w:rPr>
              <w:t>最终流入黄河。</w:t>
            </w:r>
            <w:r>
              <w:rPr>
                <w:rFonts w:hint="default" w:ascii="Times New Roman" w:hAnsi="Times New Roman" w:cs="Times New Roman"/>
                <w:color w:val="auto"/>
                <w:kern w:val="0"/>
              </w:rPr>
              <w:t>故本次</w:t>
            </w:r>
            <w:r>
              <w:rPr>
                <w:rFonts w:hint="default" w:ascii="Times New Roman" w:hAnsi="Times New Roman" w:cs="Times New Roman"/>
                <w:color w:val="auto"/>
              </w:rPr>
              <w:t>环境质量现状评价引用青海省</w:t>
            </w:r>
            <w:r>
              <w:rPr>
                <w:rFonts w:hint="default" w:ascii="Times New Roman" w:hAnsi="Times New Roman" w:cs="Times New Roman"/>
                <w:color w:val="auto"/>
                <w:lang w:val="en-US" w:eastAsia="zh-CN"/>
              </w:rPr>
              <w:t>生态环境厅</w:t>
            </w:r>
            <w:r>
              <w:rPr>
                <w:rFonts w:hint="default" w:ascii="Times New Roman" w:hAnsi="Times New Roman" w:cs="Times New Roman"/>
                <w:color w:val="auto"/>
              </w:rPr>
              <w:t>网站公布的202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4</w:t>
            </w:r>
            <w:r>
              <w:rPr>
                <w:rFonts w:hint="default" w:ascii="Times New Roman" w:hAnsi="Times New Roman" w:cs="Times New Roman"/>
                <w:color w:val="auto"/>
              </w:rPr>
              <w:t>月至202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val="en-US" w:eastAsia="zh-CN"/>
              </w:rPr>
              <w:t>全省水环境治理状况，</w:t>
            </w:r>
            <w:r>
              <w:rPr>
                <w:rFonts w:hint="default" w:ascii="Times New Roman" w:hAnsi="Times New Roman" w:cs="Times New Roman"/>
                <w:color w:val="auto"/>
                <w:kern w:val="0"/>
                <w:lang w:val="en-US" w:eastAsia="zh-CN"/>
              </w:rPr>
              <w:t>断面为尖扎与循化县界-街子</w:t>
            </w:r>
            <w:r>
              <w:rPr>
                <w:rFonts w:hint="default" w:ascii="Times New Roman" w:hAnsi="Times New Roman" w:cs="Times New Roman"/>
                <w:color w:val="auto"/>
                <w:lang w:eastAsia="zh-CN"/>
              </w:rPr>
              <w:t>，</w:t>
            </w:r>
            <w:r>
              <w:rPr>
                <w:rFonts w:hint="default" w:ascii="Times New Roman" w:hAnsi="Times New Roman" w:cs="Times New Roman"/>
                <w:bCs/>
                <w:color w:val="auto"/>
              </w:rPr>
              <w:t>水环境功能为</w:t>
            </w:r>
            <w:r>
              <w:rPr>
                <w:rFonts w:hint="default" w:ascii="Times New Roman" w:hAnsi="Times New Roman" w:cs="Times New Roman"/>
                <w:color w:val="auto"/>
              </w:rPr>
              <w:t>Ⅱ</w:t>
            </w:r>
            <w:r>
              <w:rPr>
                <w:rFonts w:hint="default" w:ascii="Times New Roman" w:hAnsi="Times New Roman" w:cs="Times New Roman"/>
                <w:bCs/>
                <w:color w:val="auto"/>
              </w:rPr>
              <w:t>类，</w:t>
            </w:r>
            <w:r>
              <w:rPr>
                <w:rFonts w:hint="default" w:ascii="Times New Roman" w:hAnsi="Times New Roman" w:cs="Times New Roman"/>
                <w:bCs/>
                <w:color w:val="auto"/>
                <w:lang w:val="en-US" w:eastAsia="zh-CN"/>
              </w:rPr>
              <w:t>根据青海省</w:t>
            </w:r>
            <w:r>
              <w:rPr>
                <w:rFonts w:hint="default" w:ascii="Times New Roman" w:hAnsi="Times New Roman" w:cs="Times New Roman"/>
                <w:color w:val="auto"/>
                <w:lang w:val="en-US" w:eastAsia="zh-CN"/>
              </w:rPr>
              <w:t>黄河干流水环境质量状况，黄河各断面均能满足相应的水功能要求</w:t>
            </w:r>
            <w:r>
              <w:rPr>
                <w:rFonts w:hint="default" w:ascii="Times New Roman" w:hAnsi="Times New Roman" w:cs="Times New Roman"/>
                <w:color w:val="auto"/>
              </w:rPr>
              <w:t>，水质良好。</w:t>
            </w:r>
          </w:p>
          <w:tbl>
            <w:tblPr>
              <w:tblStyle w:val="23"/>
              <w:tblW w:w="7856" w:type="dxa"/>
              <w:jc w:val="center"/>
              <w:tblLayout w:type="fixed"/>
              <w:tblCellMar>
                <w:top w:w="0" w:type="dxa"/>
                <w:left w:w="108" w:type="dxa"/>
                <w:bottom w:w="0" w:type="dxa"/>
                <w:right w:w="108" w:type="dxa"/>
              </w:tblCellMar>
            </w:tblPr>
            <w:tblGrid>
              <w:gridCol w:w="7856"/>
            </w:tblGrid>
            <w:tr>
              <w:tblPrEx>
                <w:tblCellMar>
                  <w:top w:w="0" w:type="dxa"/>
                  <w:left w:w="108" w:type="dxa"/>
                  <w:bottom w:w="0" w:type="dxa"/>
                  <w:right w:w="108" w:type="dxa"/>
                </w:tblCellMar>
              </w:tblPrEx>
              <w:trPr>
                <w:trHeight w:val="2455" w:hRule="atLeast"/>
                <w:jc w:val="center"/>
              </w:trPr>
              <w:tc>
                <w:tcPr>
                  <w:tcW w:w="7856" w:type="dxa"/>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drawing>
                      <wp:inline distT="0" distB="0" distL="114300" distR="114300">
                        <wp:extent cx="4852670" cy="165735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852670" cy="16573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drawing>
                      <wp:inline distT="0" distB="0" distL="114300" distR="114300">
                        <wp:extent cx="4844415" cy="1437640"/>
                        <wp:effectExtent l="0" t="0" r="1333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4844415" cy="143764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drawing>
                      <wp:inline distT="0" distB="0" distL="114300" distR="114300">
                        <wp:extent cx="4850765" cy="1476375"/>
                        <wp:effectExtent l="0" t="0" r="698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4850765" cy="147637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drawing>
                      <wp:inline distT="0" distB="0" distL="114300" distR="114300">
                        <wp:extent cx="4846320" cy="1524000"/>
                        <wp:effectExtent l="0" t="0" r="1143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4846320" cy="1524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drawing>
                      <wp:inline distT="0" distB="0" distL="114300" distR="114300">
                        <wp:extent cx="4851400" cy="1069340"/>
                        <wp:effectExtent l="0" t="0" r="635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4851400" cy="106934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50765" cy="1379220"/>
                        <wp:effectExtent l="0" t="0" r="6985"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4850765" cy="137922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795520" cy="1296670"/>
                        <wp:effectExtent l="0" t="0" r="508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4795520" cy="129667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6955" cy="1364615"/>
                        <wp:effectExtent l="0" t="0" r="10795"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4846955" cy="136461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3145" cy="1372235"/>
                        <wp:effectExtent l="0" t="0" r="14605"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tretch>
                                  <a:fillRect/>
                                </a:stretch>
                              </pic:blipFill>
                              <pic:spPr>
                                <a:xfrm>
                                  <a:off x="0" y="0"/>
                                  <a:ext cx="4843145" cy="137223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1875" cy="1426210"/>
                        <wp:effectExtent l="0" t="0" r="1587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a:stretch>
                                  <a:fillRect/>
                                </a:stretch>
                              </pic:blipFill>
                              <pic:spPr>
                                <a:xfrm>
                                  <a:off x="0" y="0"/>
                                  <a:ext cx="4841875" cy="142621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5685" cy="1304925"/>
                        <wp:effectExtent l="0" t="0" r="1206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4845685" cy="13049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7856" w:type="dxa"/>
                </w:tcPr>
                <w:p>
                  <w:pPr>
                    <w:adjustRightInd w:val="0"/>
                    <w:snapToGri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3780" cy="1471930"/>
                        <wp:effectExtent l="0" t="0" r="13970" b="139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4843780" cy="1471930"/>
                                </a:xfrm>
                                <a:prstGeom prst="rect">
                                  <a:avLst/>
                                </a:prstGeom>
                                <a:noFill/>
                                <a:ln>
                                  <a:noFill/>
                                </a:ln>
                              </pic:spPr>
                            </pic:pic>
                          </a:graphicData>
                        </a:graphic>
                      </wp:inline>
                    </w:drawing>
                  </w:r>
                </w:p>
              </w:tc>
            </w:tr>
          </w:tbl>
          <w:p>
            <w:pPr>
              <w:adjustRightInd w:val="0"/>
              <w:snapToGrid w:val="0"/>
              <w:spacing w:beforeLines="50" w:line="360" w:lineRule="auto"/>
              <w:rPr>
                <w:rFonts w:hint="default" w:ascii="Times New Roman" w:hAnsi="Times New Roman" w:cs="Times New Roman"/>
                <w:b/>
                <w:color w:val="auto"/>
              </w:rPr>
            </w:pPr>
            <w:r>
              <w:rPr>
                <w:rFonts w:hint="default" w:ascii="Times New Roman" w:hAnsi="Times New Roman" w:cs="Times New Roman"/>
                <w:b/>
                <w:color w:val="auto"/>
              </w:rPr>
              <w:t>7、声环境质量现状</w:t>
            </w:r>
          </w:p>
          <w:p>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为了解项目区声环境质量状况，本次评价特委托青海创源环境检测有限公司对沟道沿线敏感点进行了现状检测，检测结果如下。</w:t>
            </w:r>
          </w:p>
          <w:p>
            <w:pPr>
              <w:adjustRightInd w:val="0"/>
              <w:snapToGrid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 xml:space="preserve">3   声环境现状检测结果一览表   </w:t>
            </w:r>
            <w:r>
              <w:rPr>
                <w:rFonts w:hint="default" w:ascii="Times New Roman" w:hAnsi="Times New Roman" w:cs="Times New Roman"/>
                <w:b/>
                <w:bCs w:val="0"/>
                <w:color w:val="auto"/>
                <w:kern w:val="0"/>
              </w:rPr>
              <w:t>单位</w:t>
            </w:r>
            <w:r>
              <w:rPr>
                <w:rFonts w:hint="default" w:ascii="Times New Roman" w:hAnsi="Times New Roman" w:cs="Times New Roman"/>
                <w:b/>
                <w:bCs w:val="0"/>
                <w:color w:val="auto"/>
                <w:szCs w:val="18"/>
              </w:rPr>
              <w:t>：dB（A）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43"/>
              <w:gridCol w:w="1699"/>
              <w:gridCol w:w="1061"/>
              <w:gridCol w:w="1100"/>
              <w:gridCol w:w="787"/>
              <w:gridCol w:w="841"/>
              <w:gridCol w:w="7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restart"/>
                  <w:vAlign w:val="center"/>
                </w:tcPr>
                <w:p>
                  <w:pPr>
                    <w:autoSpaceDE w:val="0"/>
                    <w:autoSpaceDN w:val="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检测时间</w:t>
                  </w:r>
                </w:p>
              </w:tc>
              <w:tc>
                <w:tcPr>
                  <w:tcW w:w="1127" w:type="pct"/>
                  <w:vMerge w:val="restart"/>
                  <w:vAlign w:val="center"/>
                </w:tcPr>
                <w:p>
                  <w:pPr>
                    <w:autoSpaceDE w:val="0"/>
                    <w:autoSpaceDN w:val="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检测点位</w:t>
                  </w:r>
                </w:p>
              </w:tc>
              <w:tc>
                <w:tcPr>
                  <w:tcW w:w="1434" w:type="pct"/>
                  <w:gridSpan w:val="2"/>
                  <w:vAlign w:val="center"/>
                </w:tcPr>
                <w:p>
                  <w:pPr>
                    <w:autoSpaceDE w:val="0"/>
                    <w:autoSpaceDN w:val="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检测值</w:t>
                  </w:r>
                </w:p>
              </w:tc>
              <w:tc>
                <w:tcPr>
                  <w:tcW w:w="1080" w:type="pct"/>
                  <w:gridSpan w:val="2"/>
                  <w:vAlign w:val="center"/>
                </w:tcPr>
                <w:p>
                  <w:pPr>
                    <w:autoSpaceDE w:val="0"/>
                    <w:autoSpaceDN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标准值</w:t>
                  </w:r>
                </w:p>
              </w:tc>
              <w:tc>
                <w:tcPr>
                  <w:tcW w:w="530" w:type="pct"/>
                  <w:vMerge w:val="restart"/>
                  <w:vAlign w:val="center"/>
                </w:tcPr>
                <w:p>
                  <w:pPr>
                    <w:autoSpaceDE w:val="0"/>
                    <w:autoSpaceDN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c>
                <w:tcPr>
                  <w:tcW w:w="1127"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c>
                <w:tcPr>
                  <w:tcW w:w="704"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7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夜间</w:t>
                  </w:r>
                </w:p>
              </w:tc>
              <w:tc>
                <w:tcPr>
                  <w:tcW w:w="522"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昼间</w:t>
                  </w:r>
                </w:p>
              </w:tc>
              <w:tc>
                <w:tcPr>
                  <w:tcW w:w="558"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夜间</w:t>
                  </w:r>
                </w:p>
              </w:tc>
              <w:tc>
                <w:tcPr>
                  <w:tcW w:w="530"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restar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2024.05.13</w:t>
                  </w:r>
                </w:p>
              </w:tc>
              <w:tc>
                <w:tcPr>
                  <w:tcW w:w="1127"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东滩六村1#</w:t>
                  </w:r>
                </w:p>
              </w:tc>
              <w:tc>
                <w:tcPr>
                  <w:tcW w:w="704"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49.5</w:t>
                  </w:r>
                </w:p>
              </w:tc>
              <w:tc>
                <w:tcPr>
                  <w:tcW w:w="7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33.4</w:t>
                  </w:r>
                </w:p>
              </w:tc>
              <w:tc>
                <w:tcPr>
                  <w:tcW w:w="522"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558"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c>
                <w:tcPr>
                  <w:tcW w:w="5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c>
                <w:tcPr>
                  <w:tcW w:w="1127"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桥头村2#</w:t>
                  </w:r>
                </w:p>
              </w:tc>
              <w:tc>
                <w:tcPr>
                  <w:tcW w:w="704"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47.8</w:t>
                  </w:r>
                </w:p>
              </w:tc>
              <w:tc>
                <w:tcPr>
                  <w:tcW w:w="7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37.8</w:t>
                  </w:r>
                </w:p>
              </w:tc>
              <w:tc>
                <w:tcPr>
                  <w:tcW w:w="522"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60</w:t>
                  </w:r>
                </w:p>
              </w:tc>
              <w:tc>
                <w:tcPr>
                  <w:tcW w:w="558"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50</w:t>
                  </w:r>
                </w:p>
              </w:tc>
              <w:tc>
                <w:tcPr>
                  <w:tcW w:w="530"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c>
                <w:tcPr>
                  <w:tcW w:w="1127"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东滩五村3#</w:t>
                  </w:r>
                </w:p>
              </w:tc>
              <w:tc>
                <w:tcPr>
                  <w:tcW w:w="704"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55.8</w:t>
                  </w:r>
                </w:p>
              </w:tc>
              <w:tc>
                <w:tcPr>
                  <w:tcW w:w="7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34.2</w:t>
                  </w:r>
                </w:p>
              </w:tc>
              <w:tc>
                <w:tcPr>
                  <w:tcW w:w="522"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60</w:t>
                  </w:r>
                </w:p>
              </w:tc>
              <w:tc>
                <w:tcPr>
                  <w:tcW w:w="558"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50</w:t>
                  </w:r>
                </w:p>
              </w:tc>
              <w:tc>
                <w:tcPr>
                  <w:tcW w:w="530"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826" w:type="pct"/>
                  <w:vMerge w:val="continue"/>
                  <w:vAlign w:val="center"/>
                </w:tcPr>
                <w:p>
                  <w:pPr>
                    <w:autoSpaceDE w:val="0"/>
                    <w:autoSpaceDN w:val="0"/>
                    <w:jc w:val="center"/>
                    <w:rPr>
                      <w:rFonts w:hint="default" w:ascii="Times New Roman" w:hAnsi="Times New Roman" w:cs="Times New Roman" w:eastAsiaTheme="minorEastAsia"/>
                      <w:color w:val="auto"/>
                      <w:sz w:val="21"/>
                      <w:szCs w:val="21"/>
                    </w:rPr>
                  </w:pPr>
                </w:p>
              </w:tc>
              <w:tc>
                <w:tcPr>
                  <w:tcW w:w="1127"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新村4#</w:t>
                  </w:r>
                </w:p>
              </w:tc>
              <w:tc>
                <w:tcPr>
                  <w:tcW w:w="704"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56.4</w:t>
                  </w:r>
                </w:p>
              </w:tc>
              <w:tc>
                <w:tcPr>
                  <w:tcW w:w="730" w:type="pct"/>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39.5</w:t>
                  </w:r>
                </w:p>
              </w:tc>
              <w:tc>
                <w:tcPr>
                  <w:tcW w:w="522"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60</w:t>
                  </w:r>
                </w:p>
              </w:tc>
              <w:tc>
                <w:tcPr>
                  <w:tcW w:w="558"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50</w:t>
                  </w:r>
                </w:p>
              </w:tc>
              <w:tc>
                <w:tcPr>
                  <w:tcW w:w="530" w:type="pct"/>
                  <w:vAlign w:val="center"/>
                </w:tcPr>
                <w:p>
                  <w:pPr>
                    <w:autoSpaceDE w:val="0"/>
                    <w:autoSpaceDN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达标</w:t>
                  </w:r>
                </w:p>
              </w:tc>
            </w:tr>
          </w:tbl>
          <w:p>
            <w:pPr>
              <w:pStyle w:val="22"/>
              <w:spacing w:line="360" w:lineRule="auto"/>
              <w:rPr>
                <w:rFonts w:hint="default" w:ascii="Times New Roman" w:hAnsi="Times New Roman" w:cs="Times New Roman"/>
                <w:color w:val="auto"/>
              </w:rPr>
            </w:pPr>
            <w:r>
              <w:rPr>
                <w:rFonts w:hint="default" w:ascii="Times New Roman" w:hAnsi="Times New Roman" w:cs="Times New Roman"/>
                <w:color w:val="auto"/>
                <w:lang w:val="en-US" w:eastAsia="zh-CN"/>
              </w:rPr>
              <w:t>根据检测结果可知，沟道沿线敏感点</w:t>
            </w:r>
            <w:r>
              <w:rPr>
                <w:rFonts w:hint="default" w:ascii="Times New Roman" w:hAnsi="Times New Roman" w:cs="Times New Roman"/>
                <w:color w:val="auto"/>
              </w:rPr>
              <w:t>声环境质量</w:t>
            </w:r>
            <w:r>
              <w:rPr>
                <w:rFonts w:hint="default" w:ascii="Times New Roman" w:hAnsi="Times New Roman" w:cs="Times New Roman"/>
                <w:color w:val="auto"/>
                <w:lang w:val="en-US" w:eastAsia="zh-CN"/>
              </w:rPr>
              <w:t>满足</w:t>
            </w:r>
            <w:r>
              <w:rPr>
                <w:rFonts w:hint="default" w:ascii="Times New Roman" w:hAnsi="Times New Roman" w:cs="Times New Roman"/>
                <w:color w:val="auto"/>
              </w:rPr>
              <w:t>《声环境质量标准》（GB3096-2008）中2类标准</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763"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rPr>
              <w:t>与项目有关的原有环境污染和生态破坏问题</w:t>
            </w:r>
          </w:p>
        </w:tc>
        <w:tc>
          <w:tcPr>
            <w:tcW w:w="7759" w:type="dxa"/>
            <w:vAlign w:val="center"/>
          </w:tcPr>
          <w:p>
            <w:pPr>
              <w:adjustRightInd w:val="0"/>
              <w:snapToGrid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bCs/>
                <w:color w:val="auto"/>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763"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生态环境保护目标</w:t>
            </w:r>
          </w:p>
        </w:tc>
        <w:tc>
          <w:tcPr>
            <w:tcW w:w="7759" w:type="dxa"/>
            <w:vAlign w:val="center"/>
          </w:tcPr>
          <w:p>
            <w:pPr>
              <w:pStyle w:val="64"/>
              <w:spacing w:beforeLines="50" w:afterLines="0" w:line="360" w:lineRule="auto"/>
              <w:ind w:firstLine="480"/>
              <w:rPr>
                <w:rFonts w:hint="default" w:ascii="Times New Roman" w:hAnsi="Times New Roman" w:cs="Times New Roman"/>
                <w:color w:val="auto"/>
                <w:kern w:val="0"/>
              </w:rPr>
            </w:pPr>
            <w:r>
              <w:rPr>
                <w:rFonts w:hint="default" w:ascii="Times New Roman" w:hAnsi="Times New Roman" w:cs="Times New Roman"/>
                <w:color w:val="auto"/>
                <w:lang w:bidi="bo-CN"/>
              </w:rPr>
              <w:t>经现场调查，</w:t>
            </w:r>
            <w:r>
              <w:rPr>
                <w:rFonts w:hint="default" w:ascii="Times New Roman" w:hAnsi="Times New Roman" w:cs="Times New Roman"/>
                <w:color w:val="auto"/>
                <w:lang w:val="en-US" w:eastAsia="zh-CN" w:bidi="bo-CN"/>
              </w:rPr>
              <w:t>沟道</w:t>
            </w:r>
            <w:r>
              <w:rPr>
                <w:rFonts w:hint="default" w:ascii="Times New Roman" w:hAnsi="Times New Roman" w:cs="Times New Roman"/>
                <w:color w:val="auto"/>
                <w:lang w:bidi="bo-CN"/>
              </w:rPr>
              <w:t>两侧分布村庄，地表水体为</w:t>
            </w:r>
            <w:r>
              <w:rPr>
                <w:rFonts w:hint="default" w:ascii="Times New Roman" w:hAnsi="Times New Roman" w:cs="Times New Roman"/>
                <w:color w:val="auto"/>
                <w:lang w:val="en-US" w:eastAsia="zh-CN" w:bidi="bo-CN"/>
              </w:rPr>
              <w:t>桥头沟</w:t>
            </w:r>
            <w:r>
              <w:rPr>
                <w:rFonts w:hint="default" w:ascii="Times New Roman" w:hAnsi="Times New Roman" w:cs="Times New Roman"/>
                <w:color w:val="auto"/>
                <w:lang w:bidi="bo-CN"/>
              </w:rPr>
              <w:t>，环境保护目标一览表详见表3-</w:t>
            </w:r>
            <w:r>
              <w:rPr>
                <w:rFonts w:hint="default" w:ascii="Times New Roman" w:hAnsi="Times New Roman" w:cs="Times New Roman"/>
                <w:color w:val="auto"/>
                <w:lang w:val="en-US" w:eastAsia="zh-CN" w:bidi="bo-CN"/>
              </w:rPr>
              <w:t>4</w:t>
            </w:r>
            <w:r>
              <w:rPr>
                <w:rFonts w:hint="default" w:ascii="Times New Roman" w:hAnsi="Times New Roman" w:cs="Times New Roman"/>
                <w:color w:val="auto"/>
                <w:lang w:bidi="bo-CN"/>
              </w:rPr>
              <w:t>。</w:t>
            </w:r>
          </w:p>
          <w:p>
            <w:pPr>
              <w:jc w:val="center"/>
              <w:rPr>
                <w:rFonts w:hint="default" w:ascii="Times New Roman" w:hAnsi="Times New Roman" w:cs="Times New Roman"/>
                <w:b/>
                <w:color w:val="auto"/>
              </w:rPr>
            </w:pPr>
            <w:r>
              <w:rPr>
                <w:rFonts w:hint="default" w:ascii="Times New Roman" w:hAnsi="Times New Roman" w:cs="Times New Roman"/>
                <w:b/>
                <w:color w:val="auto"/>
              </w:rPr>
              <w:t>表3-</w:t>
            </w:r>
            <w:r>
              <w:rPr>
                <w:rFonts w:hint="default" w:ascii="Times New Roman" w:hAnsi="Times New Roman" w:cs="Times New Roman"/>
                <w:b/>
                <w:color w:val="auto"/>
                <w:lang w:val="en-US" w:eastAsia="zh-CN"/>
              </w:rPr>
              <w:t>4</w:t>
            </w:r>
            <w:r>
              <w:rPr>
                <w:rFonts w:hint="default" w:ascii="Times New Roman" w:hAnsi="Times New Roman" w:cs="Times New Roman"/>
                <w:b/>
                <w:color w:val="auto"/>
              </w:rPr>
              <w:t xml:space="preserve">  本工程沿线环境保护目标</w:t>
            </w:r>
          </w:p>
          <w:tbl>
            <w:tblPr>
              <w:tblStyle w:val="2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761"/>
              <w:gridCol w:w="1661"/>
              <w:gridCol w:w="566"/>
              <w:gridCol w:w="698"/>
              <w:gridCol w:w="802"/>
              <w:gridCol w:w="895"/>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505"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102" w:type="pct"/>
                  <w:vAlign w:val="center"/>
                </w:tcPr>
                <w:p>
                  <w:pPr>
                    <w:autoSpaceDE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起止桩号</w:t>
                  </w:r>
                </w:p>
              </w:tc>
              <w:tc>
                <w:tcPr>
                  <w:tcW w:w="375"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方位</w:t>
                  </w:r>
                </w:p>
              </w:tc>
              <w:tc>
                <w:tcPr>
                  <w:tcW w:w="463"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距离（m）</w:t>
                  </w:r>
                </w:p>
              </w:tc>
              <w:tc>
                <w:tcPr>
                  <w:tcW w:w="532"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规模</w:t>
                  </w:r>
                </w:p>
              </w:tc>
              <w:tc>
                <w:tcPr>
                  <w:tcW w:w="593"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主要保护对象</w:t>
                  </w:r>
                </w:p>
              </w:tc>
              <w:tc>
                <w:tcPr>
                  <w:tcW w:w="1170" w:type="pct"/>
                  <w:vAlign w:val="center"/>
                </w:tcPr>
                <w:p>
                  <w:pPr>
                    <w:autoSpaceDE w:val="0"/>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功能分区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restar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环境空气</w:t>
                  </w:r>
                  <w:r>
                    <w:rPr>
                      <w:rFonts w:hint="default" w:ascii="Times New Roman" w:hAnsi="Times New Roman" w:cs="Times New Roman"/>
                      <w:color w:val="auto"/>
                      <w:sz w:val="21"/>
                      <w:szCs w:val="21"/>
                      <w:lang w:val="en-US" w:eastAsia="zh-CN"/>
                    </w:rPr>
                    <w:t>及声环境</w:t>
                  </w:r>
                </w:p>
              </w:tc>
              <w:tc>
                <w:tcPr>
                  <w:tcW w:w="505" w:type="pct"/>
                  <w:vMerge w:val="restart"/>
                  <w:vAlign w:val="center"/>
                </w:tcPr>
                <w:p>
                  <w:pPr>
                    <w:autoSpaceDE w:val="0"/>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东滩六村</w:t>
                  </w: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右岸K0+</w:t>
                  </w:r>
                  <w:r>
                    <w:rPr>
                      <w:rFonts w:hint="default" w:ascii="Times New Roman" w:hAnsi="Times New Roman" w:cs="Times New Roman"/>
                      <w:color w:val="auto"/>
                      <w:sz w:val="21"/>
                      <w:szCs w:val="21"/>
                      <w:lang w:val="en-US" w:eastAsia="zh-CN"/>
                    </w:rPr>
                    <w:t>540</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rPr>
                    <w:t>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463" w:type="pc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户约</w:t>
                  </w: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auto"/>
                      <w:sz w:val="21"/>
                      <w:szCs w:val="21"/>
                    </w:rPr>
                    <w:t>人</w:t>
                  </w:r>
                </w:p>
              </w:tc>
              <w:tc>
                <w:tcPr>
                  <w:tcW w:w="593"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restart"/>
                  <w:vAlign w:val="center"/>
                </w:tcPr>
                <w:p>
                  <w:pPr>
                    <w:autoSpaceDE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505"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左</w:t>
                  </w:r>
                  <w:r>
                    <w:rPr>
                      <w:rFonts w:hint="default" w:ascii="Times New Roman" w:hAnsi="Times New Roman" w:cs="Times New Roman"/>
                      <w:color w:val="auto"/>
                      <w:sz w:val="21"/>
                      <w:szCs w:val="21"/>
                    </w:rPr>
                    <w:t>岸K</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58</w:t>
                  </w:r>
                  <w:r>
                    <w:rPr>
                      <w:rFonts w:hint="default" w:ascii="Times New Roman" w:hAnsi="Times New Roman" w:cs="Times New Roman"/>
                      <w:color w:val="auto"/>
                      <w:sz w:val="21"/>
                      <w:szCs w:val="21"/>
                    </w:rPr>
                    <w:t>0-K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rPr>
                    <w:t>侧</w:t>
                  </w:r>
                </w:p>
              </w:tc>
              <w:tc>
                <w:tcPr>
                  <w:tcW w:w="463" w:type="pc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户约</w:t>
                  </w: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人</w:t>
                  </w:r>
                </w:p>
              </w:tc>
              <w:tc>
                <w:tcPr>
                  <w:tcW w:w="593"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continue"/>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505" w:type="pct"/>
                  <w:vAlign w:val="center"/>
                </w:tcPr>
                <w:p>
                  <w:pPr>
                    <w:autoSpaceDE w:val="0"/>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桥头村</w:t>
                  </w: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右</w:t>
                  </w:r>
                  <w:r>
                    <w:rPr>
                      <w:rFonts w:hint="default" w:ascii="Times New Roman" w:hAnsi="Times New Roman" w:cs="Times New Roman"/>
                      <w:color w:val="auto"/>
                      <w:sz w:val="21"/>
                      <w:szCs w:val="21"/>
                    </w:rPr>
                    <w:t>岸K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rPr>
                    <w:t>侧</w:t>
                  </w:r>
                </w:p>
              </w:tc>
              <w:tc>
                <w:tcPr>
                  <w:tcW w:w="463" w:type="pc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户约</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6人</w:t>
                  </w:r>
                </w:p>
              </w:tc>
              <w:tc>
                <w:tcPr>
                  <w:tcW w:w="593"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continue"/>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505" w:type="pct"/>
                  <w:vAlign w:val="center"/>
                </w:tcPr>
                <w:p>
                  <w:pPr>
                    <w:autoSpaceDE w:val="0"/>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东滩五村</w:t>
                  </w: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左</w:t>
                  </w:r>
                  <w:r>
                    <w:rPr>
                      <w:rFonts w:hint="default" w:ascii="Times New Roman" w:hAnsi="Times New Roman" w:cs="Times New Roman"/>
                      <w:color w:val="auto"/>
                      <w:sz w:val="21"/>
                      <w:szCs w:val="21"/>
                    </w:rPr>
                    <w:t>岸K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00~K</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rPr>
                    <w:t>侧</w:t>
                  </w:r>
                </w:p>
              </w:tc>
              <w:tc>
                <w:tcPr>
                  <w:tcW w:w="463" w:type="pct"/>
                  <w:vAlign w:val="center"/>
                </w:tcPr>
                <w:p>
                  <w:pPr>
                    <w:autoSpaceDE w:val="0"/>
                    <w:ind w:left="-48" w:leftChars="-20" w:right="-48" w:rightChars="-2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10-200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户约1</w:t>
                  </w:r>
                  <w:r>
                    <w:rPr>
                      <w:rFonts w:hint="default"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rPr>
                    <w:t>人</w:t>
                  </w:r>
                </w:p>
              </w:tc>
              <w:tc>
                <w:tcPr>
                  <w:tcW w:w="593"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continue"/>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505" w:type="pct"/>
                  <w:vMerge w:val="restart"/>
                  <w:vAlign w:val="center"/>
                </w:tcPr>
                <w:p>
                  <w:pPr>
                    <w:autoSpaceDE w:val="0"/>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新村</w:t>
                  </w: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右</w:t>
                  </w:r>
                  <w:r>
                    <w:rPr>
                      <w:rFonts w:hint="default" w:ascii="Times New Roman" w:hAnsi="Times New Roman" w:cs="Times New Roman"/>
                      <w:color w:val="auto"/>
                      <w:sz w:val="21"/>
                      <w:szCs w:val="21"/>
                    </w:rPr>
                    <w:t>岸K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00~K</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rPr>
                    <w:t>侧</w:t>
                  </w:r>
                </w:p>
              </w:tc>
              <w:tc>
                <w:tcPr>
                  <w:tcW w:w="463" w:type="pc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30户约</w:t>
                  </w: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人</w:t>
                  </w:r>
                </w:p>
              </w:tc>
              <w:tc>
                <w:tcPr>
                  <w:tcW w:w="593"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continue"/>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505" w:type="pct"/>
                  <w:vMerge w:val="continue"/>
                  <w:vAlign w:val="center"/>
                </w:tcPr>
                <w:p>
                  <w:pPr>
                    <w:autoSpaceDE w:val="0"/>
                    <w:ind w:left="-48" w:leftChars="-20" w:right="-48" w:rightChars="-20"/>
                    <w:jc w:val="center"/>
                    <w:rPr>
                      <w:rFonts w:hint="default" w:ascii="Times New Roman" w:hAnsi="Times New Roman" w:cs="Times New Roman"/>
                      <w:color w:val="auto"/>
                      <w:sz w:val="21"/>
                      <w:szCs w:val="21"/>
                    </w:rPr>
                  </w:pPr>
                </w:p>
              </w:tc>
              <w:tc>
                <w:tcPr>
                  <w:tcW w:w="110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左岸K</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0</w:t>
                  </w:r>
                </w:p>
              </w:tc>
              <w:tc>
                <w:tcPr>
                  <w:tcW w:w="375"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463" w:type="pct"/>
                  <w:vAlign w:val="center"/>
                </w:tcPr>
                <w:p>
                  <w:pPr>
                    <w:autoSpaceDE w:val="0"/>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10-200</w:t>
                  </w:r>
                </w:p>
              </w:tc>
              <w:tc>
                <w:tcPr>
                  <w:tcW w:w="532"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0户/</w:t>
                  </w:r>
                  <w:r>
                    <w:rPr>
                      <w:rFonts w:hint="default"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人</w:t>
                  </w:r>
                </w:p>
              </w:tc>
              <w:tc>
                <w:tcPr>
                  <w:tcW w:w="593" w:type="pct"/>
                  <w:vAlign w:val="center"/>
                </w:tcPr>
                <w:p>
                  <w:pPr>
                    <w:autoSpaceDE w:val="0"/>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居民区</w:t>
                  </w:r>
                </w:p>
              </w:tc>
              <w:tc>
                <w:tcPr>
                  <w:tcW w:w="1170" w:type="pct"/>
                  <w:vMerge w:val="continue"/>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58" w:type="pct"/>
                  <w:tcBorders>
                    <w:top w:val="single" w:color="auto" w:sz="4" w:space="0"/>
                    <w:left w:val="single" w:color="auto" w:sz="4" w:space="0"/>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1607" w:type="pct"/>
                  <w:gridSpan w:val="2"/>
                  <w:tcBorders>
                    <w:top w:val="single" w:color="auto" w:sz="4" w:space="0"/>
                    <w:left w:val="nil"/>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桥头沟及黄河</w:t>
                  </w:r>
                </w:p>
              </w:tc>
              <w:tc>
                <w:tcPr>
                  <w:tcW w:w="1963" w:type="pct"/>
                  <w:gridSpan w:val="4"/>
                  <w:tcBorders>
                    <w:top w:val="single" w:color="auto" w:sz="4" w:space="0"/>
                    <w:left w:val="nil"/>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沟</w:t>
                  </w:r>
                  <w:r>
                    <w:rPr>
                      <w:rFonts w:hint="default" w:ascii="Times New Roman" w:hAnsi="Times New Roman" w:cs="Times New Roman"/>
                      <w:color w:val="auto"/>
                      <w:sz w:val="21"/>
                      <w:szCs w:val="21"/>
                    </w:rPr>
                    <w:t>段内</w:t>
                  </w:r>
                  <w:r>
                    <w:rPr>
                      <w:rFonts w:hint="default" w:ascii="Times New Roman" w:hAnsi="Times New Roman" w:cs="Times New Roman"/>
                      <w:color w:val="auto"/>
                      <w:sz w:val="21"/>
                      <w:szCs w:val="21"/>
                      <w:lang w:val="en-US" w:eastAsia="zh-CN"/>
                    </w:rPr>
                    <w:t>及入黄口</w:t>
                  </w:r>
                </w:p>
              </w:tc>
              <w:tc>
                <w:tcPr>
                  <w:tcW w:w="1170" w:type="pct"/>
                  <w:tcBorders>
                    <w:top w:val="single" w:color="auto" w:sz="4" w:space="0"/>
                    <w:left w:val="nil"/>
                    <w:bottom w:val="single" w:color="auto" w:sz="6" w:space="0"/>
                    <w:right w:val="single" w:color="auto" w:sz="4" w:space="0"/>
                  </w:tcBorders>
                  <w:vAlign w:val="center"/>
                </w:tcPr>
                <w:p>
                  <w:pPr>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《地表水环境质量标准》（GB3096-2008）Ⅱ类标准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tcBorders>
                    <w:top w:val="single" w:color="auto" w:sz="4" w:space="0"/>
                    <w:left w:val="single" w:color="auto" w:sz="4" w:space="0"/>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3571" w:type="pct"/>
                  <w:gridSpan w:val="6"/>
                  <w:tcBorders>
                    <w:top w:val="single" w:color="auto" w:sz="4" w:space="0"/>
                    <w:left w:val="nil"/>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植被、土壤、生物生境</w:t>
                  </w:r>
                </w:p>
              </w:tc>
              <w:tc>
                <w:tcPr>
                  <w:tcW w:w="1170" w:type="pct"/>
                  <w:tcBorders>
                    <w:top w:val="single" w:color="auto" w:sz="6" w:space="0"/>
                    <w:left w:val="nil"/>
                    <w:bottom w:val="single" w:color="auto" w:sz="4" w:space="0"/>
                    <w:right w:val="single" w:color="auto" w:sz="4" w:space="0"/>
                  </w:tcBorders>
                  <w:vAlign w:val="center"/>
                </w:tcPr>
                <w:p>
                  <w:pPr>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不破坏生态完整性、稳定性、多样性，维护其原有的生态功能</w:t>
                  </w:r>
                </w:p>
              </w:tc>
            </w:tr>
          </w:tbl>
          <w:p>
            <w:pPr>
              <w:adjustRightInd w:val="0"/>
              <w:snapToGrid w:val="0"/>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63"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评</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价</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标</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准</w:t>
            </w:r>
          </w:p>
        </w:tc>
        <w:tc>
          <w:tcPr>
            <w:tcW w:w="7759" w:type="dxa"/>
            <w:vAlign w:val="center"/>
          </w:tcPr>
          <w:p>
            <w:pPr>
              <w:spacing w:beforeLines="50" w:line="360" w:lineRule="auto"/>
              <w:rPr>
                <w:rFonts w:hint="default" w:ascii="Times New Roman" w:hAnsi="Times New Roman" w:cs="Times New Roman"/>
                <w:b/>
                <w:color w:val="auto"/>
              </w:rPr>
            </w:pPr>
            <w:r>
              <w:rPr>
                <w:rFonts w:hint="default" w:ascii="Times New Roman" w:hAnsi="Times New Roman" w:cs="Times New Roman"/>
                <w:b/>
                <w:color w:val="auto"/>
              </w:rPr>
              <w:t>1、环境空气质量标准</w:t>
            </w:r>
          </w:p>
          <w:p>
            <w:pPr>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本工程所在区为大气环境二类功能区，环境空气质量执行《环境空气质量标准》（GB3095-2012）</w:t>
            </w:r>
            <w:r>
              <w:rPr>
                <w:rFonts w:hint="default" w:ascii="Times New Roman" w:hAnsi="Times New Roman" w:cs="Times New Roman"/>
                <w:color w:val="auto"/>
                <w:lang w:val="en-US" w:eastAsia="zh-CN"/>
              </w:rPr>
              <w:t>及修改单</w:t>
            </w:r>
            <w:r>
              <w:rPr>
                <w:rFonts w:hint="default" w:ascii="Times New Roman" w:hAnsi="Times New Roman" w:cs="Times New Roman"/>
                <w:color w:val="auto"/>
              </w:rPr>
              <w:t>中二级标准，标准限值如下表所示。</w:t>
            </w:r>
          </w:p>
          <w:p>
            <w:pPr>
              <w:pStyle w:val="18"/>
              <w:spacing w:line="240" w:lineRule="auto"/>
              <w:rPr>
                <w:rFonts w:hint="default" w:ascii="Times New Roman" w:hAnsi="Times New Roman" w:cs="Times New Roman"/>
                <w:b/>
                <w:bCs/>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环境空气质量标准  </w:t>
            </w:r>
            <w:r>
              <w:rPr>
                <w:rFonts w:hint="default" w:ascii="Times New Roman" w:hAnsi="Times New Roman" w:cs="Times New Roman"/>
                <w:b/>
                <w:bCs/>
                <w:color w:val="auto"/>
              </w:rPr>
              <w:t>单位：μg/m</w:t>
            </w:r>
            <w:r>
              <w:rPr>
                <w:rFonts w:hint="default" w:ascii="Times New Roman" w:hAnsi="Times New Roman" w:cs="Times New Roman"/>
                <w:b/>
                <w:bCs/>
                <w:color w:val="auto"/>
                <w:vertAlign w:val="superscript"/>
              </w:rPr>
              <w:t>3</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2113"/>
              <w:gridCol w:w="1381"/>
              <w:gridCol w:w="966"/>
              <w:gridCol w:w="19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项目因子</w:t>
                  </w:r>
                </w:p>
              </w:tc>
              <w:tc>
                <w:tcPr>
                  <w:tcW w:w="1417"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平均时间</w:t>
                  </w:r>
                </w:p>
              </w:tc>
              <w:tc>
                <w:tcPr>
                  <w:tcW w:w="926"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浓度限值</w:t>
                  </w:r>
                </w:p>
              </w:tc>
              <w:tc>
                <w:tcPr>
                  <w:tcW w:w="648"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1285"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SO</w:t>
                  </w:r>
                  <w:r>
                    <w:rPr>
                      <w:rFonts w:hint="default" w:ascii="Times New Roman" w:hAnsi="Times New Roman" w:cs="Times New Roman"/>
                      <w:color w:val="auto"/>
                      <w:spacing w:val="4"/>
                      <w:sz w:val="21"/>
                      <w:szCs w:val="21"/>
                      <w:vertAlign w:val="subscript"/>
                    </w:rPr>
                    <w:t>2</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60</w:t>
                  </w:r>
                </w:p>
              </w:tc>
              <w:tc>
                <w:tcPr>
                  <w:tcW w:w="648" w:type="pct"/>
                  <w:vMerge w:val="restar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ug/m</w:t>
                  </w:r>
                  <w:r>
                    <w:rPr>
                      <w:rFonts w:hint="default" w:ascii="Times New Roman" w:hAnsi="Times New Roman" w:cs="Times New Roman"/>
                      <w:color w:val="auto"/>
                      <w:sz w:val="21"/>
                      <w:szCs w:val="21"/>
                      <w:vertAlign w:val="superscript"/>
                    </w:rPr>
                    <w:t>3</w:t>
                  </w:r>
                </w:p>
              </w:tc>
              <w:tc>
                <w:tcPr>
                  <w:tcW w:w="1285" w:type="pct"/>
                  <w:vMerge w:val="restar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z w:val="21"/>
                      <w:szCs w:val="21"/>
                    </w:rPr>
                    <w:t>《环境空气质量标准》（GB3095-2012）</w:t>
                  </w:r>
                  <w:r>
                    <w:rPr>
                      <w:rFonts w:hint="default" w:ascii="Times New Roman" w:hAnsi="Times New Roman" w:cs="Times New Roman"/>
                      <w:color w:val="auto"/>
                      <w:sz w:val="21"/>
                      <w:szCs w:val="21"/>
                      <w:lang w:val="en-US" w:eastAsia="zh-CN"/>
                    </w:rPr>
                    <w:t>及修改单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150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96"/>
                    <w:jc w:val="center"/>
                    <w:rPr>
                      <w:rFonts w:hint="default" w:ascii="Times New Roman" w:hAnsi="Times New Roman" w:cs="Times New Roman"/>
                      <w:color w:val="auto"/>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500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96"/>
                    <w:jc w:val="center"/>
                    <w:rPr>
                      <w:rFonts w:hint="default" w:ascii="Times New Roman" w:hAnsi="Times New Roman" w:cs="Times New Roman"/>
                      <w:color w:val="auto"/>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NO</w:t>
                  </w:r>
                  <w:r>
                    <w:rPr>
                      <w:rFonts w:hint="default" w:ascii="Times New Roman" w:hAnsi="Times New Roman" w:cs="Times New Roman"/>
                      <w:color w:val="auto"/>
                      <w:spacing w:val="4"/>
                      <w:sz w:val="21"/>
                      <w:szCs w:val="21"/>
                      <w:vertAlign w:val="subscript"/>
                    </w:rPr>
                    <w:t>2</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96"/>
                    <w:jc w:val="center"/>
                    <w:rPr>
                      <w:rFonts w:hint="default" w:ascii="Times New Roman" w:hAnsi="Times New Roman" w:cs="Times New Roman"/>
                      <w:color w:val="auto"/>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80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96"/>
                    <w:jc w:val="center"/>
                    <w:rPr>
                      <w:rFonts w:hint="default" w:ascii="Times New Roman" w:hAnsi="Times New Roman" w:cs="Times New Roman"/>
                      <w:color w:val="auto"/>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PM</w:t>
                  </w:r>
                  <w:r>
                    <w:rPr>
                      <w:rFonts w:hint="default" w:ascii="Times New Roman" w:hAnsi="Times New Roman" w:cs="Times New Roman"/>
                      <w:color w:val="auto"/>
                      <w:spacing w:val="4"/>
                      <w:sz w:val="21"/>
                      <w:szCs w:val="21"/>
                      <w:vertAlign w:val="subscript"/>
                    </w:rPr>
                    <w:t>10</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70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150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PM</w:t>
                  </w:r>
                  <w:r>
                    <w:rPr>
                      <w:rFonts w:hint="default" w:ascii="Times New Roman" w:hAnsi="Times New Roman" w:cs="Times New Roman"/>
                      <w:color w:val="auto"/>
                      <w:spacing w:val="4"/>
                      <w:sz w:val="21"/>
                      <w:szCs w:val="21"/>
                      <w:vertAlign w:val="subscript"/>
                    </w:rPr>
                    <w:t>2.5</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年平均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35</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75</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日最大8小时平均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160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200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restar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24小时平均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w:t>
                  </w:r>
                </w:p>
              </w:tc>
              <w:tc>
                <w:tcPr>
                  <w:tcW w:w="648" w:type="pct"/>
                  <w:vMerge w:val="restar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24" w:type="pct"/>
                  <w:vMerge w:val="continue"/>
                  <w:vAlign w:val="center"/>
                </w:tcPr>
                <w:p>
                  <w:pPr>
                    <w:ind w:firstLine="480"/>
                    <w:jc w:val="center"/>
                    <w:rPr>
                      <w:rFonts w:hint="default" w:ascii="Times New Roman" w:hAnsi="Times New Roman" w:cs="Times New Roman"/>
                      <w:color w:val="auto"/>
                      <w:sz w:val="21"/>
                      <w:szCs w:val="21"/>
                    </w:rPr>
                  </w:pPr>
                </w:p>
              </w:tc>
              <w:tc>
                <w:tcPr>
                  <w:tcW w:w="1417"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1小时平均</w:t>
                  </w:r>
                </w:p>
              </w:tc>
              <w:tc>
                <w:tcPr>
                  <w:tcW w:w="92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10</w:t>
                  </w:r>
                </w:p>
              </w:tc>
              <w:tc>
                <w:tcPr>
                  <w:tcW w:w="648" w:type="pct"/>
                  <w:vMerge w:val="continue"/>
                  <w:vAlign w:val="center"/>
                </w:tcPr>
                <w:p>
                  <w:pPr>
                    <w:ind w:firstLine="496"/>
                    <w:jc w:val="center"/>
                    <w:rPr>
                      <w:rFonts w:hint="default" w:ascii="Times New Roman" w:hAnsi="Times New Roman" w:cs="Times New Roman"/>
                      <w:color w:val="auto"/>
                      <w:spacing w:val="4"/>
                      <w:sz w:val="21"/>
                      <w:szCs w:val="21"/>
                    </w:rPr>
                  </w:pPr>
                </w:p>
              </w:tc>
              <w:tc>
                <w:tcPr>
                  <w:tcW w:w="1285" w:type="pct"/>
                  <w:vMerge w:val="continue"/>
                  <w:vAlign w:val="center"/>
                </w:tcPr>
                <w:p>
                  <w:pPr>
                    <w:ind w:firstLine="480"/>
                    <w:jc w:val="center"/>
                    <w:rPr>
                      <w:rFonts w:hint="default" w:ascii="Times New Roman" w:hAnsi="Times New Roman" w:cs="Times New Roman"/>
                      <w:color w:val="auto"/>
                      <w:sz w:val="21"/>
                      <w:szCs w:val="21"/>
                    </w:rPr>
                  </w:pPr>
                </w:p>
              </w:tc>
            </w:tr>
          </w:tbl>
          <w:p>
            <w:pPr>
              <w:pStyle w:val="6"/>
              <w:widowControl w:val="0"/>
              <w:adjustRightInd/>
              <w:snapToGrid/>
              <w:spacing w:beforeLines="50" w:after="0" w:line="360" w:lineRule="auto"/>
              <w:jc w:val="both"/>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2、地表水环境质量标准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本工程所涉及的</w:t>
            </w:r>
            <w:r>
              <w:rPr>
                <w:rFonts w:hint="default" w:ascii="Times New Roman" w:hAnsi="Times New Roman" w:cs="Times New Roman"/>
                <w:color w:val="auto"/>
                <w:kern w:val="0"/>
                <w:lang w:val="en-US" w:eastAsia="zh-CN"/>
              </w:rPr>
              <w:t>桥头沟</w:t>
            </w:r>
            <w:r>
              <w:rPr>
                <w:rFonts w:hint="default" w:ascii="Times New Roman" w:hAnsi="Times New Roman" w:cs="Times New Roman"/>
                <w:color w:val="auto"/>
                <w:kern w:val="0"/>
              </w:rPr>
              <w:t>为</w:t>
            </w:r>
            <w:r>
              <w:rPr>
                <w:rFonts w:hint="default" w:ascii="Times New Roman" w:hAnsi="Times New Roman" w:cs="Times New Roman"/>
                <w:color w:val="auto"/>
                <w:spacing w:val="-14"/>
              </w:rPr>
              <w:t>季节性河道</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最终流入黄河，所在断面为尖扎与循化县界-街子</w:t>
            </w:r>
            <w:r>
              <w:rPr>
                <w:rFonts w:hint="default" w:ascii="Times New Roman" w:hAnsi="Times New Roman" w:cs="Times New Roman"/>
                <w:color w:val="auto"/>
                <w:lang w:eastAsia="zh-CN"/>
              </w:rPr>
              <w:t>，</w:t>
            </w:r>
            <w:r>
              <w:rPr>
                <w:rFonts w:hint="default" w:ascii="Times New Roman" w:hAnsi="Times New Roman" w:cs="Times New Roman"/>
                <w:bCs/>
                <w:color w:val="auto"/>
              </w:rPr>
              <w:t>水环境功能为</w:t>
            </w:r>
            <w:r>
              <w:rPr>
                <w:rFonts w:hint="default" w:ascii="Times New Roman" w:hAnsi="Times New Roman" w:cs="Times New Roman"/>
                <w:color w:val="auto"/>
              </w:rPr>
              <w:t>Ⅱ</w:t>
            </w:r>
            <w:r>
              <w:rPr>
                <w:rFonts w:hint="default" w:ascii="Times New Roman" w:hAnsi="Times New Roman" w:cs="Times New Roman"/>
                <w:bCs/>
                <w:color w:val="auto"/>
              </w:rPr>
              <w:t>类，执行《地表水环境质量标准》（GB3838-2002）中</w:t>
            </w:r>
            <w:r>
              <w:rPr>
                <w:rFonts w:hint="default" w:ascii="Times New Roman" w:hAnsi="Times New Roman" w:cs="Times New Roman"/>
                <w:color w:val="auto"/>
              </w:rPr>
              <w:t>Ⅱ</w:t>
            </w:r>
            <w:r>
              <w:rPr>
                <w:rFonts w:hint="default" w:ascii="Times New Roman" w:hAnsi="Times New Roman" w:cs="Times New Roman"/>
                <w:bCs/>
                <w:color w:val="auto"/>
              </w:rPr>
              <w:t>类标准，</w:t>
            </w:r>
            <w:r>
              <w:rPr>
                <w:rFonts w:hint="default" w:ascii="Times New Roman" w:hAnsi="Times New Roman" w:cs="Times New Roman"/>
                <w:color w:val="auto"/>
              </w:rPr>
              <w:t>标准限值如下表所示。</w:t>
            </w:r>
          </w:p>
          <w:p>
            <w:pPr>
              <w:pStyle w:val="18"/>
              <w:spacing w:line="240" w:lineRule="auto"/>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地表水环境质量标准  </w:t>
            </w:r>
            <w:r>
              <w:rPr>
                <w:rFonts w:hint="default" w:ascii="Times New Roman" w:hAnsi="Times New Roman" w:cs="Times New Roman"/>
                <w:b w:val="0"/>
                <w:bCs w:val="0"/>
                <w:color w:val="auto"/>
              </w:rPr>
              <w:t>单位：mg/L</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4358"/>
              <w:gridCol w:w="20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921"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366"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Ⅱ标准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1</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pH（无量纲）</w:t>
                  </w:r>
                </w:p>
              </w:tc>
              <w:tc>
                <w:tcPr>
                  <w:tcW w:w="136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2</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溶解氧≥</w:t>
                  </w:r>
                </w:p>
              </w:tc>
              <w:tc>
                <w:tcPr>
                  <w:tcW w:w="1366" w:type="pct"/>
                  <w:vAlign w:val="center"/>
                </w:tcPr>
                <w:p>
                  <w:pPr>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cs="Times New Roman"/>
                      <w:color w:val="auto"/>
                      <w:spacing w:val="4"/>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3</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化学需氧量≤</w:t>
                  </w:r>
                </w:p>
              </w:tc>
              <w:tc>
                <w:tcPr>
                  <w:tcW w:w="1366" w:type="pc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4</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五日生化需氧量≤</w:t>
                  </w:r>
                </w:p>
              </w:tc>
              <w:tc>
                <w:tcPr>
                  <w:tcW w:w="1366" w:type="pct"/>
                  <w:vAlign w:val="center"/>
                </w:tcPr>
                <w:p>
                  <w:pPr>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cs="Times New Roman"/>
                      <w:color w:val="auto"/>
                      <w:spacing w:val="4"/>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氨氮（NH3-N）</w:t>
                  </w:r>
                </w:p>
              </w:tc>
              <w:tc>
                <w:tcPr>
                  <w:tcW w:w="1366" w:type="pc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6</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总磷（以P计算）≤</w:t>
                  </w:r>
                </w:p>
              </w:tc>
              <w:tc>
                <w:tcPr>
                  <w:tcW w:w="1366" w:type="pc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7</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总氮（湖、库以N计算）≤</w:t>
                  </w:r>
                </w:p>
              </w:tc>
              <w:tc>
                <w:tcPr>
                  <w:tcW w:w="1366" w:type="pc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8</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粪大肠</w:t>
                  </w:r>
                  <w:r>
                    <w:rPr>
                      <w:rFonts w:hint="default" w:ascii="Times New Roman" w:hAnsi="Times New Roman" w:cs="Times New Roman"/>
                      <w:color w:val="auto"/>
                      <w:spacing w:val="4"/>
                      <w:sz w:val="21"/>
                      <w:szCs w:val="21"/>
                      <w:lang w:val="en-US" w:eastAsia="zh-CN"/>
                    </w:rPr>
                    <w:t>菌群</w:t>
                  </w:r>
                  <w:r>
                    <w:rPr>
                      <w:rFonts w:hint="default" w:ascii="Times New Roman" w:hAnsi="Times New Roman" w:cs="Times New Roman"/>
                      <w:color w:val="auto"/>
                      <w:spacing w:val="4"/>
                      <w:sz w:val="21"/>
                      <w:szCs w:val="21"/>
                    </w:rPr>
                    <w:t>（个/L）≤</w:t>
                  </w:r>
                </w:p>
              </w:tc>
              <w:tc>
                <w:tcPr>
                  <w:tcW w:w="1366" w:type="pct"/>
                  <w:vAlign w:val="center"/>
                </w:tcPr>
                <w:p>
                  <w:pPr>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9</w:t>
                  </w:r>
                </w:p>
              </w:tc>
              <w:tc>
                <w:tcPr>
                  <w:tcW w:w="2921"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石油类≤</w:t>
                  </w:r>
                </w:p>
              </w:tc>
              <w:tc>
                <w:tcPr>
                  <w:tcW w:w="1366"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0.05</w:t>
                  </w:r>
                </w:p>
              </w:tc>
            </w:tr>
          </w:tbl>
          <w:p>
            <w:pPr>
              <w:spacing w:beforeLines="50" w:line="360" w:lineRule="auto"/>
              <w:rPr>
                <w:rFonts w:hint="default" w:ascii="Times New Roman" w:hAnsi="Times New Roman" w:cs="Times New Roman"/>
                <w:b/>
                <w:color w:val="auto"/>
              </w:rPr>
            </w:pPr>
            <w:r>
              <w:rPr>
                <w:rFonts w:hint="default" w:ascii="Times New Roman" w:hAnsi="Times New Roman" w:cs="Times New Roman"/>
                <w:b/>
                <w:color w:val="auto"/>
              </w:rPr>
              <w:t>3、声环境质量标准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本工程所涉及的区域为农村地区，评价范围内</w:t>
            </w:r>
            <w:r>
              <w:rPr>
                <w:rFonts w:hint="default" w:ascii="Times New Roman" w:hAnsi="Times New Roman" w:cs="Times New Roman"/>
                <w:color w:val="auto"/>
                <w:lang w:val="en-US" w:eastAsia="zh-CN"/>
              </w:rPr>
              <w:t>无</w:t>
            </w:r>
            <w:r>
              <w:rPr>
                <w:rFonts w:hint="default" w:ascii="Times New Roman" w:hAnsi="Times New Roman" w:cs="Times New Roman"/>
                <w:color w:val="auto"/>
                <w:lang w:val="zh-CN"/>
              </w:rPr>
              <w:t>工业企业分布，因此</w:t>
            </w:r>
            <w:r>
              <w:rPr>
                <w:rFonts w:hint="default" w:ascii="Times New Roman" w:hAnsi="Times New Roman" w:cs="Times New Roman"/>
                <w:color w:val="auto"/>
              </w:rPr>
              <w:t>声环境质量执行《声环境质量标准》（GB3096-2008）中2类标准，标准限值如下表所示。</w:t>
            </w:r>
          </w:p>
          <w:p>
            <w:pPr>
              <w:pStyle w:val="18"/>
              <w:spacing w:line="240" w:lineRule="auto"/>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声环境质量标准  </w:t>
            </w:r>
            <w:r>
              <w:rPr>
                <w:rFonts w:hint="default" w:ascii="Times New Roman" w:hAnsi="Times New Roman" w:cs="Times New Roman"/>
                <w:b/>
                <w:bCs/>
                <w:color w:val="auto"/>
              </w:rPr>
              <w:t>单位：dB（A）</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164"/>
              <w:gridCol w:w="1647"/>
              <w:gridCol w:w="1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792" w:type="pct"/>
                  <w:vAlign w:val="center"/>
                </w:tcPr>
                <w:p>
                  <w:pPr>
                    <w:jc w:val="center"/>
                    <w:rPr>
                      <w:rFonts w:hint="default" w:ascii="Times New Roman" w:hAnsi="Times New Roman" w:cs="Times New Roman"/>
                      <w:b/>
                      <w:color w:val="auto"/>
                      <w:sz w:val="21"/>
                      <w:szCs w:val="21"/>
                      <w:highlight w:val="yellow"/>
                      <w:lang w:bidi="bo-CN"/>
                    </w:rPr>
                  </w:pPr>
                  <w:r>
                    <w:rPr>
                      <w:rFonts w:hint="default" w:ascii="Times New Roman" w:hAnsi="Times New Roman" w:cs="Times New Roman"/>
                      <w:b/>
                      <w:color w:val="auto"/>
                      <w:sz w:val="21"/>
                      <w:szCs w:val="21"/>
                      <w:lang w:bidi="bo-CN"/>
                    </w:rPr>
                    <w:t>功能区类别</w:t>
                  </w:r>
                </w:p>
              </w:tc>
              <w:tc>
                <w:tcPr>
                  <w:tcW w:w="1104" w:type="pct"/>
                  <w:vAlign w:val="center"/>
                </w:tcPr>
                <w:p>
                  <w:pPr>
                    <w:jc w:val="center"/>
                    <w:rPr>
                      <w:rFonts w:hint="default" w:ascii="Times New Roman" w:hAnsi="Times New Roman" w:cs="Times New Roman"/>
                      <w:b/>
                      <w:color w:val="auto"/>
                      <w:sz w:val="21"/>
                      <w:szCs w:val="21"/>
                      <w:lang w:bidi="bo-CN"/>
                    </w:rPr>
                  </w:pPr>
                  <w:r>
                    <w:rPr>
                      <w:rFonts w:hint="default" w:ascii="Times New Roman" w:hAnsi="Times New Roman" w:cs="Times New Roman"/>
                      <w:b/>
                      <w:color w:val="auto"/>
                      <w:sz w:val="21"/>
                      <w:szCs w:val="21"/>
                      <w:lang w:bidi="bo-CN"/>
                    </w:rPr>
                    <w:t>昼间</w:t>
                  </w:r>
                </w:p>
              </w:tc>
              <w:tc>
                <w:tcPr>
                  <w:tcW w:w="1104" w:type="pct"/>
                  <w:vAlign w:val="center"/>
                </w:tcPr>
                <w:p>
                  <w:pPr>
                    <w:jc w:val="center"/>
                    <w:rPr>
                      <w:rFonts w:hint="default" w:ascii="Times New Roman" w:hAnsi="Times New Roman" w:cs="Times New Roman"/>
                      <w:b/>
                      <w:color w:val="auto"/>
                      <w:sz w:val="21"/>
                      <w:szCs w:val="21"/>
                      <w:lang w:bidi="bo-CN"/>
                    </w:rPr>
                  </w:pPr>
                  <w:r>
                    <w:rPr>
                      <w:rFonts w:hint="default" w:ascii="Times New Roman" w:hAnsi="Times New Roman" w:cs="Times New Roman"/>
                      <w:b/>
                      <w:color w:val="auto"/>
                      <w:sz w:val="21"/>
                      <w:szCs w:val="21"/>
                      <w:lang w:bidi="bo-CN"/>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792"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2类区标准限值</w:t>
                  </w:r>
                </w:p>
              </w:tc>
              <w:tc>
                <w:tcPr>
                  <w:tcW w:w="1104"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104"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pPr>
              <w:pStyle w:val="22"/>
              <w:tabs>
                <w:tab w:val="left" w:pos="7500"/>
              </w:tabs>
              <w:spacing w:beforeLines="50" w:line="360" w:lineRule="auto"/>
              <w:ind w:firstLine="0" w:firstLineChars="0"/>
              <w:rPr>
                <w:rFonts w:hint="default" w:ascii="Times New Roman" w:hAnsi="Times New Roman" w:cs="Times New Roman"/>
                <w:b/>
                <w:bCs/>
                <w:color w:val="auto"/>
              </w:rPr>
            </w:pPr>
            <w:bookmarkStart w:id="7" w:name="_Toc59453414"/>
            <w:r>
              <w:rPr>
                <w:rFonts w:hint="default" w:ascii="Times New Roman" w:hAnsi="Times New Roman" w:cs="Times New Roman"/>
                <w:b/>
                <w:bCs/>
                <w:color w:val="auto"/>
              </w:rPr>
              <w:t>4、噪声排放评价标准</w:t>
            </w:r>
            <w:bookmarkEnd w:id="7"/>
          </w:p>
          <w:p>
            <w:pPr>
              <w:autoSpaceDE w:val="0"/>
              <w:autoSpaceDN w:val="0"/>
              <w:spacing w:line="360" w:lineRule="auto"/>
              <w:ind w:firstLine="480" w:firstLineChars="200"/>
              <w:rPr>
                <w:rFonts w:hint="default" w:ascii="Times New Roman" w:hAnsi="Times New Roman" w:cs="Times New Roman"/>
                <w:b/>
                <w:color w:val="auto"/>
                <w:lang w:bidi="bo-CN"/>
              </w:rPr>
            </w:pPr>
            <w:r>
              <w:rPr>
                <w:rFonts w:hint="default" w:ascii="Times New Roman" w:hAnsi="Times New Roman" w:cs="Times New Roman"/>
                <w:color w:val="auto"/>
                <w:lang w:bidi="bo-CN"/>
              </w:rPr>
              <w:t>本工程建设施工期噪声执行《建筑施工场界环境噪声排放标准》（GB12523-2011），标准限值如下表所示。</w:t>
            </w:r>
          </w:p>
          <w:p>
            <w:pPr>
              <w:pStyle w:val="18"/>
              <w:spacing w:line="240" w:lineRule="auto"/>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建筑施工场界环境噪声排放标准  </w:t>
            </w:r>
            <w:r>
              <w:rPr>
                <w:rFonts w:hint="default" w:ascii="Times New Roman" w:hAnsi="Times New Roman" w:cs="Times New Roman"/>
                <w:b w:val="0"/>
                <w:bCs w:val="0"/>
                <w:color w:val="auto"/>
              </w:rPr>
              <w:t>单位：dB（A）</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11"/>
              <w:gridCol w:w="3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2555"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w:t>
                  </w:r>
                </w:p>
              </w:tc>
              <w:tc>
                <w:tcPr>
                  <w:tcW w:w="2444"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555"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70</w:t>
                  </w:r>
                </w:p>
              </w:tc>
              <w:tc>
                <w:tcPr>
                  <w:tcW w:w="2444" w:type="pct"/>
                  <w:vAlign w:val="center"/>
                </w:tcPr>
                <w:p>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55</w:t>
                  </w:r>
                </w:p>
              </w:tc>
            </w:tr>
          </w:tbl>
          <w:p>
            <w:pPr>
              <w:pStyle w:val="22"/>
              <w:tabs>
                <w:tab w:val="left" w:pos="7500"/>
              </w:tabs>
              <w:spacing w:beforeLines="50" w:line="360" w:lineRule="auto"/>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5、固体废物</w:t>
            </w:r>
          </w:p>
          <w:p>
            <w:pPr>
              <w:pStyle w:val="22"/>
              <w:tabs>
                <w:tab w:val="left" w:pos="7500"/>
              </w:tabs>
              <w:spacing w:beforeLines="50" w:line="360" w:lineRule="auto"/>
              <w:ind w:firstLine="480" w:firstLineChars="0"/>
              <w:rPr>
                <w:rFonts w:hint="default" w:ascii="Times New Roman" w:hAnsi="Times New Roman" w:cs="Times New Roman"/>
                <w:bCs/>
                <w:color w:val="auto"/>
              </w:rPr>
            </w:pPr>
            <w:r>
              <w:rPr>
                <w:rFonts w:hint="default" w:ascii="Times New Roman" w:hAnsi="Times New Roman" w:cs="Times New Roman"/>
                <w:bCs/>
                <w:color w:val="auto"/>
              </w:rPr>
              <w:t>一般固废执行《一般工业固体废物贮存和填埋污染控制标准》（GB18599-2020）中相关要求。</w:t>
            </w:r>
          </w:p>
          <w:p>
            <w:pPr>
              <w:pStyle w:val="22"/>
              <w:tabs>
                <w:tab w:val="left" w:pos="7500"/>
              </w:tabs>
              <w:spacing w:beforeLines="50" w:line="360" w:lineRule="auto"/>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6、生态环境</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生态环境质量评价标准以不减少区域内动植物种类，不降低区域内生物多样性，不降低生态系统服务功能为标准，评价选取现状植被盖度评价标准。</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生态环境质量标准如下表所示。</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表3</w:t>
            </w:r>
            <w:r>
              <w:rPr>
                <w:rFonts w:hint="default" w:ascii="Times New Roman" w:hAnsi="Times New Roman" w:cs="Times New Roman"/>
                <w:b/>
                <w:color w:val="auto"/>
                <w:lang w:val="en-US" w:eastAsia="zh-CN"/>
              </w:rPr>
              <w:t>-9</w:t>
            </w:r>
            <w:r>
              <w:rPr>
                <w:rFonts w:hint="default" w:ascii="Times New Roman" w:hAnsi="Times New Roman" w:cs="Times New Roman"/>
                <w:b/>
                <w:color w:val="auto"/>
              </w:rPr>
              <w:t xml:space="preserve"> </w:t>
            </w:r>
            <w:r>
              <w:rPr>
                <w:rFonts w:hint="default" w:ascii="Times New Roman" w:hAnsi="Times New Roman" w:cs="Times New Roman"/>
                <w:b/>
                <w:color w:val="auto"/>
                <w:lang w:val="en-US" w:eastAsia="zh-CN"/>
              </w:rPr>
              <w:t>生态</w:t>
            </w:r>
            <w:r>
              <w:rPr>
                <w:rFonts w:hint="default" w:ascii="Times New Roman" w:hAnsi="Times New Roman" w:cs="Times New Roman"/>
                <w:b/>
                <w:color w:val="auto"/>
              </w:rPr>
              <w:t>环境质量标准</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5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pct"/>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区域自然整体盖度</w:t>
                  </w:r>
                </w:p>
              </w:tc>
              <w:tc>
                <w:tcPr>
                  <w:tcW w:w="3691" w:type="pct"/>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临时占地自然植被盖度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pct"/>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盖度0%~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c>
                <w:tcPr>
                  <w:tcW w:w="369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临时施工区涉及占用自然植被植被盖度约</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pct"/>
                  <w:vMerge w:val="continue"/>
                  <w:vAlign w:val="center"/>
                </w:tcPr>
                <w:p>
                  <w:pPr>
                    <w:adjustRightInd w:val="0"/>
                    <w:snapToGrid w:val="0"/>
                    <w:jc w:val="center"/>
                    <w:rPr>
                      <w:rFonts w:hint="default" w:ascii="Times New Roman" w:hAnsi="Times New Roman" w:cs="Times New Roman"/>
                      <w:color w:val="auto"/>
                      <w:sz w:val="21"/>
                      <w:szCs w:val="21"/>
                    </w:rPr>
                  </w:pPr>
                </w:p>
              </w:tc>
              <w:tc>
                <w:tcPr>
                  <w:tcW w:w="369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施工营地涉及占用自然植被植被盖度约</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p>
              </w:tc>
            </w:tr>
          </w:tbl>
          <w:p>
            <w:pPr>
              <w:adjustRightInd w:val="0"/>
              <w:snapToGrid w:val="0"/>
              <w:spacing w:line="360" w:lineRule="auto"/>
              <w:ind w:firstLine="480" w:firstLineChars="200"/>
              <w:rPr>
                <w:rFonts w:hint="default" w:ascii="Times New Roman" w:hAnsi="Times New Roman" w:cs="Times New Roman"/>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763" w:type="dxa"/>
            <w:vAlign w:val="center"/>
          </w:tcPr>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其</w:t>
            </w:r>
          </w:p>
          <w:p>
            <w:pPr>
              <w:adjustRightInd w:val="0"/>
              <w:snapToGrid w:val="0"/>
              <w:spacing w:line="360" w:lineRule="auto"/>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他</w:t>
            </w:r>
          </w:p>
        </w:tc>
        <w:tc>
          <w:tcPr>
            <w:tcW w:w="7759"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0"/>
              </w:rPr>
              <w:t>无</w:t>
            </w:r>
          </w:p>
        </w:tc>
      </w:tr>
    </w:tbl>
    <w:p>
      <w:pPr>
        <w:pStyle w:val="19"/>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kern w:val="2"/>
          <w:sz w:val="36"/>
          <w:szCs w:val="36"/>
        </w:rPr>
      </w:pPr>
    </w:p>
    <w:p>
      <w:pPr>
        <w:pStyle w:val="19"/>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kern w:val="2"/>
          <w:sz w:val="36"/>
          <w:szCs w:val="36"/>
        </w:rPr>
        <w:br w:type="page"/>
      </w:r>
      <w:bookmarkStart w:id="8" w:name="_Toc69334652"/>
      <w:r>
        <w:rPr>
          <w:rFonts w:hint="default" w:ascii="Times New Roman" w:hAnsi="Times New Roman" w:eastAsia="黑体" w:cs="Times New Roman"/>
          <w:b/>
          <w:bCs/>
          <w:snapToGrid w:val="0"/>
          <w:color w:val="auto"/>
          <w:sz w:val="30"/>
          <w:szCs w:val="30"/>
        </w:rPr>
        <w:t>四、生态环境影响分析</w:t>
      </w:r>
      <w:bookmarkEnd w:id="8"/>
    </w:p>
    <w:tbl>
      <w:tblPr>
        <w:tblStyle w:val="23"/>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396" w:type="pct"/>
            <w:tcMar>
              <w:left w:w="28" w:type="dxa"/>
              <w:right w:w="28" w:type="dxa"/>
            </w:tcMar>
            <w:vAlign w:val="center"/>
          </w:tcPr>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bookmarkStart w:id="9" w:name="_Hlk49796138"/>
            <w:r>
              <w:rPr>
                <w:rFonts w:hint="default" w:ascii="Times New Roman" w:hAnsi="Times New Roman" w:cs="Times New Roman"/>
                <w:b/>
                <w:color w:val="auto"/>
                <w:spacing w:val="10"/>
                <w:kern w:val="2"/>
                <w:szCs w:val="24"/>
              </w:rPr>
              <w:t>施</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工</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期</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生</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态</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环</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境</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影</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响</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分</w:t>
            </w:r>
          </w:p>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析</w:t>
            </w:r>
            <w:bookmarkEnd w:id="9"/>
          </w:p>
        </w:tc>
        <w:tc>
          <w:tcPr>
            <w:tcW w:w="4603" w:type="pct"/>
          </w:tcPr>
          <w:p>
            <w:pPr>
              <w:adjustRightInd w:val="0"/>
              <w:snapToGrid w:val="0"/>
              <w:spacing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1、生态环境影响分析</w:t>
            </w:r>
          </w:p>
          <w:p>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本工程施工对生态系统的影响可能表现在对生态系统的结构和功能、非生物因子（气候、土壤、地形地貌、水文及水文地质）、动植物、生态敏感区和区域生态问题的影响。</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（1）对植被的影响分析</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对植被的影响主要为工程占地对于地表植被的破坏，工程占地将造成植被损失及土壤结构的破坏，从而导致项目区植被覆盖度降低，使局部生态系统的结构和功能下降。本项目占地为永久性占地和施工临时占地两部分，工程永久占地主要是</w:t>
            </w:r>
            <w:r>
              <w:rPr>
                <w:rFonts w:hint="default" w:ascii="Times New Roman" w:hAnsi="Times New Roman" w:cs="Times New Roman"/>
                <w:color w:val="auto"/>
                <w:lang w:val="en-US" w:eastAsia="zh-CN"/>
              </w:rPr>
              <w:t>排洪渠、</w:t>
            </w:r>
            <w:r>
              <w:rPr>
                <w:rFonts w:hint="default" w:ascii="Times New Roman" w:hAnsi="Times New Roman" w:cs="Times New Roman"/>
                <w:color w:val="auto"/>
              </w:rPr>
              <w:t>防洪堤、</w:t>
            </w:r>
            <w:r>
              <w:rPr>
                <w:rFonts w:hint="default" w:ascii="Times New Roman" w:hAnsi="Times New Roman" w:cs="Times New Roman"/>
                <w:color w:val="auto"/>
                <w:lang w:val="en-US" w:eastAsia="zh-CN"/>
              </w:rPr>
              <w:t>谷坊</w:t>
            </w:r>
            <w:r>
              <w:rPr>
                <w:rFonts w:hint="default" w:ascii="Times New Roman" w:hAnsi="Times New Roman" w:cs="Times New Roman"/>
                <w:color w:val="auto"/>
              </w:rPr>
              <w:t>工程占地。施工临时占地主要是施工工区、施工营地和</w:t>
            </w:r>
            <w:r>
              <w:rPr>
                <w:rFonts w:hint="default" w:ascii="Times New Roman" w:hAnsi="Times New Roman" w:cs="Times New Roman"/>
                <w:color w:val="auto"/>
                <w:lang w:val="en-US" w:eastAsia="zh-CN"/>
              </w:rPr>
              <w:t>沟道两侧土方堆放临时占用</w:t>
            </w:r>
            <w:r>
              <w:rPr>
                <w:rFonts w:hint="default" w:ascii="Times New Roman" w:hAnsi="Times New Roman" w:cs="Times New Roman"/>
                <w:color w:val="auto"/>
              </w:rPr>
              <w:t>，占地类型主要为</w:t>
            </w:r>
            <w:r>
              <w:rPr>
                <w:rFonts w:hint="default" w:ascii="Times New Roman" w:hAnsi="Times New Roman" w:cs="Times New Roman"/>
                <w:color w:val="auto"/>
                <w:lang w:val="en-US" w:eastAsia="zh-CN"/>
              </w:rPr>
              <w:t>内陆滩涂，占用少量空地和其他</w:t>
            </w:r>
            <w:r>
              <w:rPr>
                <w:rFonts w:hint="default" w:ascii="Times New Roman" w:hAnsi="Times New Roman" w:cs="Times New Roman"/>
                <w:color w:val="auto"/>
              </w:rPr>
              <w:t>草地，</w:t>
            </w:r>
            <w:r>
              <w:rPr>
                <w:rFonts w:hint="default" w:ascii="Times New Roman" w:hAnsi="Times New Roman" w:cs="Times New Roman"/>
                <w:color w:val="auto"/>
                <w:lang w:val="en-US" w:eastAsia="zh-CN"/>
              </w:rPr>
              <w:t>其他草地</w:t>
            </w:r>
            <w:r>
              <w:rPr>
                <w:rFonts w:hint="default" w:ascii="Times New Roman" w:hAnsi="Times New Roman" w:cs="Times New Roman"/>
                <w:color w:val="auto"/>
              </w:rPr>
              <w:t>植被覆盖度约为</w:t>
            </w:r>
            <w:r>
              <w:rPr>
                <w:rFonts w:hint="default" w:ascii="Times New Roman" w:hAnsi="Times New Roman" w:cs="Times New Roman"/>
                <w:color w:val="auto"/>
                <w:lang w:val="en-US" w:eastAsia="zh-CN"/>
              </w:rPr>
              <w:t>1</w:t>
            </w:r>
            <w:r>
              <w:rPr>
                <w:rFonts w:hint="default" w:ascii="Times New Roman" w:hAnsi="Times New Roman" w:cs="Times New Roman"/>
                <w:color w:val="auto"/>
              </w:rPr>
              <w:t>0%，其植物物种均为当地常见种。本次施工将破坏一定的草地，待施工结束后播撒</w:t>
            </w:r>
            <w:r>
              <w:rPr>
                <w:rFonts w:hint="default" w:ascii="Times New Roman" w:hAnsi="Times New Roman" w:cs="Times New Roman"/>
                <w:color w:val="auto"/>
                <w:lang w:val="en-US" w:eastAsia="zh-CN"/>
              </w:rPr>
              <w:t>蒿类、蒲公英、苣荬菜、</w:t>
            </w:r>
            <w:r>
              <w:rPr>
                <w:rFonts w:hint="default" w:ascii="Times New Roman" w:hAnsi="Times New Roman" w:cs="Times New Roman"/>
                <w:color w:val="auto"/>
              </w:rPr>
              <w:t>芨芨草、披碱草等</w:t>
            </w:r>
            <w:r>
              <w:rPr>
                <w:rFonts w:hint="eastAsia" w:cs="Times New Roman"/>
                <w:color w:val="auto"/>
                <w:lang w:val="en-US" w:eastAsia="zh-CN"/>
              </w:rPr>
              <w:t>当地</w:t>
            </w:r>
            <w:r>
              <w:rPr>
                <w:rFonts w:hint="default" w:ascii="Times New Roman" w:hAnsi="Times New Roman" w:cs="Times New Roman"/>
                <w:color w:val="auto"/>
              </w:rPr>
              <w:t>草种，恢复原有草地。采取上述措施后，本项目施工不会影响植物种类的多样性，不会造成区域植被群落类型和组成成分的明显削减，且本项目工程占地范围内无国家保护性、珍稀、濒危植物分布，因此项目施工对区域植被影响较小。</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（2）对野生动物的影响</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受施工活动的影响，工程建设过程中产生的噪声必然对野生动物造成惊扰，使其远离施工现场。在实地考察和资料分析中，工程沿线区域没有发现大型兽类动物的栖息地，主要为鸟类、田鼠等小型动物，故噪声对野生动物影响较小。随着工程结束噪声对野生动物的影响随即消失，野生动物活动逐渐恢复。项目运行后在地表并没有造成大空间隔离带（区），对动物的生存及活动影响甚微。</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（3）永久占地影响分析</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工程永久占地主要是</w:t>
            </w:r>
            <w:r>
              <w:rPr>
                <w:rFonts w:hint="default" w:ascii="Times New Roman" w:hAnsi="Times New Roman" w:cs="Times New Roman"/>
                <w:color w:val="auto"/>
                <w:lang w:val="en-US" w:eastAsia="zh-CN"/>
              </w:rPr>
              <w:t>排洪渠、防洪堤、谷坊占地</w:t>
            </w:r>
            <w:r>
              <w:rPr>
                <w:rFonts w:hint="default" w:ascii="Times New Roman" w:hAnsi="Times New Roman" w:cs="Times New Roman"/>
                <w:color w:val="auto"/>
              </w:rPr>
              <w:t>堤。占地类型</w:t>
            </w:r>
            <w:r>
              <w:rPr>
                <w:rFonts w:hint="default" w:ascii="Times New Roman" w:hAnsi="Times New Roman" w:cs="Times New Roman"/>
                <w:color w:val="auto"/>
                <w:lang w:val="en-US" w:eastAsia="zh-CN"/>
              </w:rPr>
              <w:t>全部为内涂滩涂，</w:t>
            </w:r>
            <w:r>
              <w:rPr>
                <w:rFonts w:hint="default" w:ascii="Times New Roman" w:hAnsi="Times New Roman" w:cs="Times New Roman"/>
                <w:color w:val="auto"/>
              </w:rPr>
              <w:t>永久占地面积约为</w:t>
            </w:r>
            <w:r>
              <w:rPr>
                <w:rFonts w:hint="default" w:ascii="Times New Roman" w:hAnsi="Times New Roman" w:eastAsia="Times New Roman" w:cs="Times New Roman"/>
                <w:color w:val="auto"/>
                <w:spacing w:val="-2"/>
                <w:highlight w:val="none"/>
              </w:rPr>
              <w:t>2.13hm</w:t>
            </w:r>
            <w:r>
              <w:rPr>
                <w:rFonts w:hint="default" w:ascii="Times New Roman" w:hAnsi="Times New Roman" w:cs="Times New Roman"/>
                <w:color w:val="auto"/>
                <w:spacing w:val="-2"/>
                <w:highlight w:val="none"/>
              </w:rPr>
              <w:t>²，</w:t>
            </w:r>
            <w:r>
              <w:rPr>
                <w:rFonts w:hint="default" w:ascii="Times New Roman" w:hAnsi="Times New Roman" w:cs="Times New Roman"/>
                <w:color w:val="auto"/>
              </w:rPr>
              <w:t>本次施工活动将扰乱施工区地表结构，破坏表层土壤。但本工程永久占地面积较小。永久性占地面积外的土地类型基本不受该工程永久性占地的影响，可继续保持其土地利用该功能，所以工程永久占地对沿线土地利用格局影响较小。</w:t>
            </w:r>
          </w:p>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（4）临时占地影响分析</w:t>
            </w:r>
          </w:p>
          <w:p>
            <w:pPr>
              <w:pStyle w:val="22"/>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rPr>
              <w:t>临时占地为工程建设</w:t>
            </w:r>
            <w:r>
              <w:rPr>
                <w:rFonts w:hint="default" w:ascii="Times New Roman" w:hAnsi="Times New Roman" w:cs="Times New Roman"/>
                <w:color w:val="auto"/>
                <w:sz w:val="24"/>
                <w:szCs w:val="24"/>
              </w:rPr>
              <w:t>施工工区、施工营地</w:t>
            </w:r>
            <w:r>
              <w:rPr>
                <w:rFonts w:hint="default" w:ascii="Times New Roman" w:hAnsi="Times New Roman" w:cs="Times New Roman"/>
                <w:color w:val="auto"/>
                <w:sz w:val="24"/>
                <w:szCs w:val="24"/>
                <w:lang w:val="en-US" w:eastAsia="zh-CN"/>
              </w:rPr>
              <w:t>和沟道两侧土方堆放占地</w:t>
            </w:r>
            <w:r>
              <w:rPr>
                <w:rFonts w:hint="default" w:ascii="Times New Roman" w:hAnsi="Times New Roman" w:cs="Times New Roman"/>
                <w:color w:val="auto"/>
                <w:sz w:val="24"/>
                <w:szCs w:val="24"/>
              </w:rPr>
              <w:t>，占地类型主要为</w:t>
            </w:r>
            <w:r>
              <w:rPr>
                <w:rFonts w:hint="default" w:ascii="Times New Roman" w:hAnsi="Times New Roman" w:cs="Times New Roman"/>
                <w:color w:val="auto"/>
                <w:sz w:val="24"/>
                <w:szCs w:val="24"/>
                <w:lang w:val="en-US" w:eastAsia="zh-CN"/>
              </w:rPr>
              <w:t>内陆滩涂、空地和其他草地</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zh-CN"/>
              </w:rPr>
              <w:t>工程</w:t>
            </w:r>
            <w:r>
              <w:rPr>
                <w:rFonts w:hint="default" w:ascii="Times New Roman" w:hAnsi="Times New Roman" w:cs="Times New Roman"/>
                <w:color w:val="auto"/>
                <w:spacing w:val="-5"/>
                <w:sz w:val="24"/>
                <w:szCs w:val="24"/>
                <w:highlight w:val="none"/>
              </w:rPr>
              <w:t>临时占地面积</w:t>
            </w:r>
            <w:r>
              <w:rPr>
                <w:rFonts w:hint="default" w:ascii="Times New Roman" w:hAnsi="Times New Roman" w:cs="Times New Roman"/>
                <w:color w:val="auto"/>
                <w:spacing w:val="-5"/>
                <w:sz w:val="24"/>
                <w:szCs w:val="24"/>
                <w:highlight w:val="none"/>
                <w:lang w:val="en-US" w:eastAsia="zh-CN"/>
              </w:rPr>
              <w:t>1.28</w:t>
            </w:r>
            <w:r>
              <w:rPr>
                <w:rFonts w:hint="default" w:ascii="Times New Roman" w:hAnsi="Times New Roman" w:eastAsia="Times New Roman" w:cs="Times New Roman"/>
                <w:color w:val="auto"/>
                <w:spacing w:val="-2"/>
                <w:sz w:val="24"/>
                <w:szCs w:val="24"/>
                <w:highlight w:val="none"/>
              </w:rPr>
              <w:t>hm</w:t>
            </w:r>
            <w:r>
              <w:rPr>
                <w:rFonts w:hint="default" w:ascii="Times New Roman" w:hAnsi="Times New Roman" w:cs="Times New Roman"/>
                <w:color w:val="auto"/>
                <w:spacing w:val="-2"/>
                <w:sz w:val="24"/>
                <w:szCs w:val="24"/>
                <w:highlight w:val="none"/>
              </w:rPr>
              <w:t>²</w:t>
            </w:r>
            <w:r>
              <w:rPr>
                <w:rFonts w:hint="default" w:ascii="Times New Roman" w:hAnsi="Times New Roman" w:cs="Times New Roman"/>
                <w:color w:val="auto"/>
                <w:spacing w:val="-5"/>
                <w:sz w:val="24"/>
                <w:szCs w:val="24"/>
                <w:highlight w:val="none"/>
              </w:rPr>
              <w:t>，</w:t>
            </w:r>
            <w:r>
              <w:rPr>
                <w:rFonts w:hint="default" w:ascii="Times New Roman" w:hAnsi="Times New Roman" w:cs="Times New Roman"/>
                <w:color w:val="auto"/>
                <w:spacing w:val="-5"/>
                <w:sz w:val="24"/>
                <w:szCs w:val="24"/>
                <w:highlight w:val="none"/>
                <w:lang w:val="en-US" w:eastAsia="zh-CN"/>
              </w:rPr>
              <w:t>其中</w:t>
            </w:r>
            <w:r>
              <w:rPr>
                <w:rFonts w:hint="default" w:ascii="Times New Roman" w:hAnsi="Times New Roman" w:cs="Times New Roman"/>
                <w:color w:val="auto"/>
                <w:spacing w:val="-5"/>
                <w:sz w:val="24"/>
                <w:szCs w:val="24"/>
                <w:highlight w:val="none"/>
              </w:rPr>
              <w:t xml:space="preserve">占用其他草地面积 </w:t>
            </w:r>
            <w:r>
              <w:rPr>
                <w:rFonts w:hint="default" w:ascii="Times New Roman" w:hAnsi="Times New Roman" w:eastAsia="Times New Roman" w:cs="Times New Roman"/>
                <w:color w:val="auto"/>
                <w:spacing w:val="-2"/>
                <w:sz w:val="24"/>
                <w:szCs w:val="24"/>
                <w:highlight w:val="none"/>
              </w:rPr>
              <w:t>0</w:t>
            </w:r>
            <w:r>
              <w:rPr>
                <w:rFonts w:hint="default" w:ascii="Times New Roman" w:hAnsi="Times New Roman" w:eastAsia="宋体" w:cs="Times New Roman"/>
                <w:color w:val="auto"/>
                <w:spacing w:val="-2"/>
                <w:sz w:val="24"/>
                <w:szCs w:val="24"/>
                <w:highlight w:val="none"/>
                <w:lang w:val="en-US" w:eastAsia="zh-CN"/>
              </w:rPr>
              <w:t>.09</w:t>
            </w:r>
            <w:r>
              <w:rPr>
                <w:rFonts w:hint="default" w:ascii="Times New Roman" w:hAnsi="Times New Roman" w:eastAsia="Times New Roman" w:cs="Times New Roman"/>
                <w:color w:val="auto"/>
                <w:spacing w:val="-2"/>
                <w:sz w:val="24"/>
                <w:szCs w:val="24"/>
                <w:highlight w:val="none"/>
              </w:rPr>
              <w:t>hm</w:t>
            </w:r>
            <w:r>
              <w:rPr>
                <w:rFonts w:hint="default" w:ascii="Times New Roman" w:hAnsi="Times New Roman" w:cs="Times New Roman"/>
                <w:color w:val="auto"/>
                <w:spacing w:val="-2"/>
                <w:sz w:val="24"/>
                <w:szCs w:val="24"/>
                <w:highlight w:val="none"/>
              </w:rPr>
              <w:t>²，</w:t>
            </w:r>
            <w:r>
              <w:rPr>
                <w:rFonts w:hint="default" w:ascii="Times New Roman" w:hAnsi="Times New Roman" w:cs="Times New Roman"/>
                <w:color w:val="auto"/>
                <w:spacing w:val="-2"/>
                <w:sz w:val="24"/>
                <w:szCs w:val="24"/>
                <w:highlight w:val="none"/>
                <w:lang w:val="en-US" w:eastAsia="zh-CN"/>
              </w:rPr>
              <w:t>空地0.03</w:t>
            </w:r>
            <w:r>
              <w:rPr>
                <w:rFonts w:hint="default" w:ascii="Times New Roman" w:hAnsi="Times New Roman" w:cs="Times New Roman"/>
                <w:color w:val="auto"/>
                <w:sz w:val="24"/>
                <w:szCs w:val="24"/>
                <w:lang w:val="en-US" w:eastAsia="zh-CN"/>
              </w:rPr>
              <w:t>hm</w:t>
            </w:r>
            <w:r>
              <w:rPr>
                <w:rFonts w:hint="default" w:ascii="Times New Roman" w:hAnsi="Times New Roman" w:cs="Times New Roman"/>
                <w:color w:val="auto"/>
                <w:sz w:val="24"/>
                <w:szCs w:val="24"/>
                <w:vertAlign w:val="superscript"/>
                <w:lang w:val="en-US" w:eastAsia="zh-CN"/>
              </w:rPr>
              <w:t>2</w:t>
            </w:r>
            <w:r>
              <w:rPr>
                <w:rFonts w:hint="eastAsia" w:cs="Times New Roman"/>
                <w:color w:val="auto"/>
                <w:sz w:val="24"/>
                <w:szCs w:val="24"/>
                <w:vertAlign w:val="baseline"/>
                <w:lang w:val="en-US" w:eastAsia="zh-CN"/>
              </w:rPr>
              <w:t>，</w:t>
            </w:r>
            <w:r>
              <w:rPr>
                <w:rFonts w:hint="default" w:ascii="Times New Roman" w:hAnsi="Times New Roman" w:cs="Times New Roman"/>
                <w:color w:val="auto"/>
                <w:spacing w:val="-2"/>
                <w:sz w:val="24"/>
                <w:szCs w:val="24"/>
                <w:highlight w:val="none"/>
              </w:rPr>
              <w:t>占用内陆滩涂面</w:t>
            </w:r>
            <w:r>
              <w:rPr>
                <w:rFonts w:hint="default" w:ascii="Times New Roman" w:hAnsi="Times New Roman" w:cs="Times New Roman"/>
                <w:color w:val="auto"/>
                <w:sz w:val="24"/>
                <w:szCs w:val="24"/>
                <w:highlight w:val="none"/>
              </w:rPr>
              <w:t xml:space="preserve">积 </w:t>
            </w:r>
            <w:r>
              <w:rPr>
                <w:rFonts w:hint="default" w:ascii="Times New Roman" w:hAnsi="Times New Roman" w:eastAsia="Times New Roman" w:cs="Times New Roman"/>
                <w:color w:val="auto"/>
                <w:sz w:val="24"/>
                <w:szCs w:val="24"/>
                <w:highlight w:val="none"/>
              </w:rPr>
              <w:t>1.16hm</w:t>
            </w:r>
            <w:r>
              <w:rPr>
                <w:rFonts w:hint="default" w:ascii="Times New Roman" w:hAnsi="Times New Roman" w:cs="Times New Roman"/>
                <w:color w:val="auto"/>
                <w:sz w:val="24"/>
                <w:szCs w:val="24"/>
                <w:highlight w:val="none"/>
              </w:rPr>
              <w:t>²</w:t>
            </w:r>
            <w:r>
              <w:rPr>
                <w:rFonts w:hint="default" w:ascii="Times New Roman" w:hAnsi="Times New Roman" w:cs="Times New Roman"/>
                <w:color w:val="auto"/>
                <w:sz w:val="24"/>
                <w:szCs w:val="24"/>
              </w:rPr>
              <w:t>。本项目为线性工程，且基础开挖工作均在原有</w:t>
            </w:r>
            <w:r>
              <w:rPr>
                <w:rFonts w:hint="default" w:ascii="Times New Roman" w:hAnsi="Times New Roman" w:cs="Times New Roman"/>
                <w:color w:val="auto"/>
                <w:sz w:val="24"/>
                <w:szCs w:val="24"/>
                <w:lang w:val="en-US" w:eastAsia="zh-CN"/>
              </w:rPr>
              <w:t>沟道</w:t>
            </w:r>
            <w:r>
              <w:rPr>
                <w:rFonts w:hint="default" w:ascii="Times New Roman" w:hAnsi="Times New Roman" w:cs="Times New Roman"/>
                <w:color w:val="auto"/>
                <w:sz w:val="24"/>
                <w:szCs w:val="24"/>
              </w:rPr>
              <w:t>进行，开挖过程采用边开挖，边修筑、边回填、边碾压的施工方式，尽量缩短土方堆放时间。对占用草地的临时占地在施工结束后播撒</w:t>
            </w:r>
            <w:r>
              <w:rPr>
                <w:rFonts w:hint="default" w:ascii="Times New Roman" w:hAnsi="Times New Roman" w:cs="Times New Roman"/>
                <w:color w:val="auto"/>
                <w:sz w:val="24"/>
                <w:szCs w:val="24"/>
                <w:lang w:val="en-US" w:eastAsia="zh-CN"/>
              </w:rPr>
              <w:t>蒿类、蒲公英、苣荬菜、</w:t>
            </w:r>
            <w:r>
              <w:rPr>
                <w:rFonts w:hint="default" w:ascii="Times New Roman" w:hAnsi="Times New Roman" w:cs="Times New Roman"/>
                <w:color w:val="auto"/>
                <w:sz w:val="24"/>
                <w:szCs w:val="24"/>
              </w:rPr>
              <w:t>芨芨草、披碱草等</w:t>
            </w:r>
            <w:r>
              <w:rPr>
                <w:rFonts w:hint="default" w:ascii="Times New Roman" w:hAnsi="Times New Roman" w:cs="Times New Roman"/>
                <w:color w:val="auto"/>
                <w:sz w:val="24"/>
                <w:szCs w:val="24"/>
                <w:lang w:val="en-US" w:eastAsia="zh-CN"/>
              </w:rPr>
              <w:t>当地</w:t>
            </w:r>
            <w:r>
              <w:rPr>
                <w:rFonts w:hint="default" w:ascii="Times New Roman" w:hAnsi="Times New Roman" w:cs="Times New Roman"/>
                <w:color w:val="auto"/>
                <w:sz w:val="24"/>
                <w:szCs w:val="24"/>
              </w:rPr>
              <w:t>草种，使其恢复</w:t>
            </w:r>
            <w:r>
              <w:rPr>
                <w:rFonts w:hint="default" w:ascii="Times New Roman" w:hAnsi="Times New Roman" w:cs="Times New Roman"/>
                <w:color w:val="auto"/>
                <w:sz w:val="24"/>
                <w:szCs w:val="24"/>
                <w:lang w:val="en-US" w:eastAsia="zh-CN"/>
              </w:rPr>
              <w:t>植被</w:t>
            </w:r>
            <w:r>
              <w:rPr>
                <w:rFonts w:hint="default" w:ascii="Times New Roman" w:hAnsi="Times New Roman"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（5）水生生态环境影响分析</w:t>
            </w:r>
          </w:p>
          <w:p>
            <w:pPr>
              <w:adjustRightInd w:val="0"/>
              <w:snapToGrid w:val="0"/>
              <w:spacing w:line="360" w:lineRule="auto"/>
              <w:ind w:firstLine="480"/>
              <w:rPr>
                <w:rFonts w:hint="default" w:ascii="Times New Roman" w:hAnsi="Times New Roman" w:cs="Times New Roman"/>
                <w:color w:val="auto"/>
                <w:kern w:val="0"/>
                <w:lang w:val="en-US"/>
              </w:rPr>
            </w:pPr>
            <w:r>
              <w:rPr>
                <w:rFonts w:hint="default" w:ascii="Times New Roman" w:hAnsi="Times New Roman" w:cs="Times New Roman"/>
                <w:bCs/>
                <w:color w:val="auto"/>
                <w:kern w:val="0"/>
                <w:lang w:val="en-US" w:eastAsia="zh-CN"/>
              </w:rPr>
              <w:t>本工程沟道为季节性沟渠，</w:t>
            </w:r>
            <w:r>
              <w:rPr>
                <w:rFonts w:hint="default" w:ascii="Times New Roman" w:hAnsi="Times New Roman" w:cs="Times New Roman"/>
                <w:color w:val="auto"/>
                <w:spacing w:val="-14"/>
              </w:rPr>
              <w:t>除夏季洪水来临时有水，其余季节均属于干沟</w:t>
            </w:r>
            <w:r>
              <w:rPr>
                <w:rFonts w:hint="default" w:ascii="Times New Roman" w:hAnsi="Times New Roman" w:cs="Times New Roman"/>
                <w:color w:val="auto"/>
                <w:spacing w:val="-14"/>
                <w:lang w:eastAsia="zh-CN"/>
              </w:rPr>
              <w:t>，</w:t>
            </w:r>
            <w:r>
              <w:rPr>
                <w:rFonts w:hint="default" w:ascii="Times New Roman" w:hAnsi="Times New Roman" w:cs="Times New Roman"/>
                <w:color w:val="auto"/>
                <w:spacing w:val="-14"/>
                <w:lang w:val="en-US" w:eastAsia="zh-CN"/>
              </w:rPr>
              <w:t>沟道内无水生生物，不会对水生生态产生影响。</w:t>
            </w:r>
            <w:r>
              <w:rPr>
                <w:rFonts w:hint="default" w:ascii="Times New Roman" w:hAnsi="Times New Roman" w:cs="Times New Roman"/>
                <w:color w:val="auto"/>
                <w:spacing w:val="-14"/>
                <w:lang w:val="en-US" w:eastAsia="zh-CN"/>
              </w:rPr>
              <w:t>另外，</w:t>
            </w:r>
            <w:r>
              <w:rPr>
                <w:rFonts w:hint="default" w:ascii="Times New Roman" w:hAnsi="Times New Roman" w:cs="Times New Roman"/>
                <w:color w:val="auto"/>
              </w:rPr>
              <w:t>本工程修建出水口导流墙</w:t>
            </w:r>
            <w:r>
              <w:rPr>
                <w:rFonts w:hint="default" w:ascii="Times New Roman" w:hAnsi="Times New Roman" w:eastAsia="Times New Roman" w:cs="Times New Roman"/>
                <w:color w:val="auto"/>
              </w:rPr>
              <w:t>10m</w:t>
            </w:r>
            <w:r>
              <w:rPr>
                <w:rFonts w:hint="default" w:ascii="Times New Roman" w:hAnsi="Times New Roman" w:cs="Times New Roman"/>
                <w:color w:val="auto"/>
              </w:rPr>
              <w:t>，左右岸各</w:t>
            </w:r>
            <w:r>
              <w:rPr>
                <w:rFonts w:hint="default" w:ascii="Times New Roman" w:hAnsi="Times New Roman" w:eastAsia="Times New Roman" w:cs="Times New Roman"/>
                <w:color w:val="auto"/>
              </w:rPr>
              <w:t>5m</w:t>
            </w:r>
            <w:r>
              <w:rPr>
                <w:rFonts w:hint="default" w:ascii="Times New Roman" w:hAnsi="Times New Roman" w:cs="Times New Roman"/>
                <w:color w:val="auto"/>
                <w:spacing w:val="-1"/>
              </w:rPr>
              <w:t>，与两侧沟岸垂直相连</w:t>
            </w:r>
            <w:r>
              <w:rPr>
                <w:rFonts w:hint="eastAsia" w:cs="Times New Roman"/>
                <w:color w:val="auto"/>
                <w:spacing w:val="-1"/>
                <w:lang w:eastAsia="zh-CN"/>
              </w:rPr>
              <w:t>，</w:t>
            </w:r>
            <w:r>
              <w:rPr>
                <w:rFonts w:hint="eastAsia" w:cs="Times New Roman"/>
                <w:color w:val="auto"/>
                <w:spacing w:val="-1"/>
                <w:lang w:val="en-US" w:eastAsia="zh-CN"/>
              </w:rPr>
              <w:t>沟道治理终点距离黄河入河口20m处，故建设导流墙时无涉水工程，不影响黄河水质，</w:t>
            </w:r>
            <w:r>
              <w:rPr>
                <w:rFonts w:hint="default" w:ascii="Times New Roman" w:hAnsi="Times New Roman" w:cs="Times New Roman"/>
                <w:color w:val="auto"/>
                <w:spacing w:val="-14"/>
                <w:lang w:val="en-US" w:eastAsia="zh-CN"/>
              </w:rPr>
              <w:t>不会对水生生态产生影响</w:t>
            </w:r>
            <w:r>
              <w:rPr>
                <w:rFonts w:hint="default" w:ascii="Times New Roman" w:hAnsi="Times New Roman" w:cs="Times New Roman"/>
                <w:color w:val="auto"/>
                <w:spacing w:val="-1"/>
                <w:lang w:val="en-US" w:eastAsia="zh-CN"/>
              </w:rPr>
              <w:t>。</w:t>
            </w:r>
          </w:p>
          <w:p>
            <w:pPr>
              <w:adjustRightInd w:val="0"/>
              <w:snapToGrid w:val="0"/>
              <w:spacing w:line="360" w:lineRule="auto"/>
              <w:rPr>
                <w:rFonts w:hint="default" w:ascii="Times New Roman" w:hAnsi="Times New Roman" w:cs="Times New Roman"/>
                <w:b/>
                <w:bCs/>
                <w:color w:val="auto"/>
              </w:rPr>
            </w:pPr>
            <w:r>
              <w:rPr>
                <w:rFonts w:hint="default" w:ascii="Times New Roman" w:hAnsi="Times New Roman" w:cs="Times New Roman"/>
                <w:b/>
                <w:bCs/>
                <w:color w:val="auto"/>
              </w:rPr>
              <w:t>2、地表水环境影响分析</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沟道排洪渠、防洪堤建设时，尽量避开雨季施工，沟道为干沟，施工过程中无生产废水产生，</w:t>
            </w:r>
            <w:r>
              <w:rPr>
                <w:rFonts w:hint="default" w:ascii="Times New Roman" w:hAnsi="Times New Roman" w:cs="Times New Roman"/>
                <w:color w:val="auto"/>
              </w:rPr>
              <w:t>工程</w:t>
            </w:r>
            <w:r>
              <w:rPr>
                <w:rFonts w:hint="default" w:ascii="Times New Roman" w:hAnsi="Times New Roman" w:cs="Times New Roman"/>
                <w:color w:val="auto"/>
                <w:lang w:val="en-US" w:eastAsia="zh-CN"/>
              </w:rPr>
              <w:t>建设</w:t>
            </w:r>
            <w:r>
              <w:rPr>
                <w:rFonts w:hint="default" w:ascii="Times New Roman" w:hAnsi="Times New Roman" w:cs="Times New Roman"/>
                <w:color w:val="auto"/>
              </w:rPr>
              <w:t>过程</w:t>
            </w:r>
            <w:r>
              <w:rPr>
                <w:rFonts w:hint="default" w:ascii="Times New Roman" w:hAnsi="Times New Roman" w:cs="Times New Roman"/>
                <w:color w:val="auto"/>
                <w:lang w:val="en-US" w:eastAsia="zh-CN"/>
              </w:rPr>
              <w:t>中</w:t>
            </w:r>
            <w:r>
              <w:rPr>
                <w:rFonts w:hint="default" w:ascii="Times New Roman" w:hAnsi="Times New Roman" w:cs="Times New Roman"/>
                <w:color w:val="auto"/>
              </w:rPr>
              <w:t>产生的</w:t>
            </w:r>
            <w:r>
              <w:rPr>
                <w:rFonts w:hint="default" w:ascii="Times New Roman" w:hAnsi="Times New Roman" w:cs="Times New Roman"/>
                <w:color w:val="auto"/>
                <w:lang w:val="en-US" w:eastAsia="zh-CN"/>
              </w:rPr>
              <w:t>施工废水主要为</w:t>
            </w:r>
            <w:r>
              <w:rPr>
                <w:rFonts w:hint="default" w:ascii="Times New Roman" w:hAnsi="Times New Roman" w:cs="Times New Roman"/>
                <w:color w:val="auto"/>
                <w:lang w:val="en-US" w:eastAsia="zh-CN"/>
              </w:rPr>
              <w:t>施工机械洗车废水、</w:t>
            </w:r>
            <w:r>
              <w:rPr>
                <w:rFonts w:hint="default" w:ascii="Times New Roman" w:hAnsi="Times New Roman" w:cs="Times New Roman"/>
                <w:color w:val="auto"/>
              </w:rPr>
              <w:t>生活污水</w:t>
            </w:r>
            <w:r>
              <w:rPr>
                <w:rFonts w:hint="default" w:ascii="Times New Roman" w:hAnsi="Times New Roman" w:cs="Times New Roman"/>
                <w:color w:val="auto"/>
                <w:lang w:eastAsia="zh-CN"/>
              </w:rPr>
              <w:t>，</w:t>
            </w:r>
            <w:r>
              <w:rPr>
                <w:rFonts w:hint="default" w:ascii="Times New Roman" w:hAnsi="Times New Roman" w:cs="Times New Roman"/>
                <w:color w:val="auto"/>
              </w:rPr>
              <w:t>若</w:t>
            </w:r>
            <w:r>
              <w:rPr>
                <w:rFonts w:hint="default" w:ascii="Times New Roman" w:hAnsi="Times New Roman" w:cs="Times New Roman"/>
                <w:color w:val="auto"/>
                <w:lang w:val="en-US" w:eastAsia="zh-CN"/>
              </w:rPr>
              <w:t>进入到</w:t>
            </w:r>
            <w:r>
              <w:rPr>
                <w:rFonts w:hint="default" w:ascii="Times New Roman" w:hAnsi="Times New Roman" w:cs="Times New Roman"/>
                <w:color w:val="auto"/>
              </w:rPr>
              <w:t>河流会影响河流水质。</w:t>
            </w:r>
          </w:p>
          <w:p>
            <w:pPr>
              <w:spacing w:line="360" w:lineRule="auto"/>
              <w:ind w:firstLine="480" w:firstLineChars="200"/>
              <w:jc w:val="left"/>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）施工机械</w:t>
            </w:r>
            <w:r>
              <w:rPr>
                <w:rFonts w:hint="default" w:ascii="Times New Roman" w:hAnsi="Times New Roman" w:cs="Times New Roman"/>
                <w:bCs/>
                <w:color w:val="auto"/>
                <w:lang w:val="en-US" w:eastAsia="zh-CN"/>
              </w:rPr>
              <w:t>冲洗</w:t>
            </w:r>
            <w:r>
              <w:rPr>
                <w:rFonts w:hint="default" w:ascii="Times New Roman" w:hAnsi="Times New Roman" w:cs="Times New Roman"/>
                <w:bCs/>
                <w:color w:val="auto"/>
              </w:rPr>
              <w:t>废水</w:t>
            </w:r>
          </w:p>
          <w:p>
            <w:pPr>
              <w:spacing w:line="360" w:lineRule="auto"/>
              <w:ind w:firstLine="480" w:firstLineChars="200"/>
              <w:jc w:val="left"/>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rPr>
              <w:t>施工期</w:t>
            </w:r>
            <w:r>
              <w:rPr>
                <w:rFonts w:hint="default" w:ascii="Times New Roman" w:hAnsi="Times New Roman" w:cs="Times New Roman"/>
                <w:bCs/>
                <w:color w:val="auto"/>
                <w:lang w:val="en-US" w:eastAsia="zh-CN"/>
              </w:rPr>
              <w:t>运输车辆</w:t>
            </w:r>
            <w:r>
              <w:rPr>
                <w:rFonts w:hint="default" w:ascii="Times New Roman" w:hAnsi="Times New Roman" w:cs="Times New Roman"/>
                <w:bCs/>
                <w:color w:val="auto"/>
              </w:rPr>
              <w:t>冲洗会产生一定的废水，该部分废水中主要含SS，SS浓度在2000mg/L-5000mg/L。根据项目特点，经类比分析，预计施工废水产生量为</w:t>
            </w:r>
            <w:r>
              <w:rPr>
                <w:rFonts w:hint="eastAsia" w:cs="Times New Roman"/>
                <w:bCs/>
                <w:color w:val="auto"/>
                <w:lang w:val="en-US" w:eastAsia="zh-CN"/>
              </w:rPr>
              <w:t>2</w:t>
            </w:r>
            <w:r>
              <w:rPr>
                <w:rFonts w:hint="default" w:ascii="Times New Roman" w:hAnsi="Times New Roman" w:cs="Times New Roman"/>
                <w:bCs/>
                <w:color w:val="auto"/>
              </w:rPr>
              <w:t>.0m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/d，环评要求在</w:t>
            </w:r>
            <w:r>
              <w:rPr>
                <w:rFonts w:hint="default" w:ascii="Times New Roman" w:hAnsi="Times New Roman" w:cs="Times New Roman"/>
                <w:bCs/>
                <w:color w:val="auto"/>
                <w:lang w:val="en-US" w:eastAsia="zh-CN"/>
              </w:rPr>
              <w:t>2#施工工区（2#施工工区距离取水点黄河较近）</w:t>
            </w:r>
            <w:r>
              <w:rPr>
                <w:rFonts w:hint="default" w:ascii="Times New Roman" w:hAnsi="Times New Roman" w:cs="Times New Roman"/>
                <w:bCs/>
                <w:color w:val="auto"/>
              </w:rPr>
              <w:t>设置</w:t>
            </w:r>
            <w:r>
              <w:rPr>
                <w:rFonts w:hint="default" w:ascii="Times New Roman" w:hAnsi="Times New Roman" w:cs="Times New Roman"/>
                <w:bCs/>
                <w:color w:val="auto"/>
                <w:lang w:val="en-US" w:eastAsia="zh-CN"/>
              </w:rPr>
              <w:t>1个移动式钢化</w:t>
            </w:r>
            <w:r>
              <w:rPr>
                <w:rFonts w:hint="default" w:ascii="Times New Roman" w:hAnsi="Times New Roman" w:cs="Times New Roman"/>
                <w:bCs/>
                <w:color w:val="auto"/>
              </w:rPr>
              <w:t>沉淀池，施工废水经沉淀池沉淀后用于现场泼洒降尘，不外排</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施工期所有的机械、车辆冲洗均在2#施工工区内进行</w:t>
            </w:r>
            <w:r>
              <w:rPr>
                <w:rFonts w:hint="default" w:ascii="Times New Roman" w:hAnsi="Times New Roman" w:cs="Times New Roman"/>
                <w:bCs/>
                <w:color w:val="auto"/>
              </w:rPr>
              <w:t>。</w:t>
            </w:r>
          </w:p>
          <w:p>
            <w:pPr>
              <w:spacing w:line="360" w:lineRule="auto"/>
              <w:ind w:firstLine="480" w:firstLineChars="200"/>
              <w:jc w:val="left"/>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2</w:t>
            </w:r>
            <w:r>
              <w:rPr>
                <w:rFonts w:hint="default" w:ascii="Times New Roman" w:hAnsi="Times New Roman" w:cs="Times New Roman"/>
                <w:bCs/>
                <w:color w:val="auto"/>
              </w:rPr>
              <w:t>）</w:t>
            </w:r>
            <w:r>
              <w:rPr>
                <w:rFonts w:hint="default" w:ascii="Times New Roman" w:hAnsi="Times New Roman" w:cs="Times New Roman"/>
                <w:color w:val="auto"/>
              </w:rPr>
              <w:t>生活污水</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本工程建设高峰期施工人数</w:t>
            </w:r>
            <w:r>
              <w:rPr>
                <w:rFonts w:hint="default" w:ascii="Times New Roman" w:hAnsi="Times New Roman" w:cs="Times New Roman"/>
                <w:color w:val="auto"/>
                <w:lang w:val="en-US" w:eastAsia="zh-CN"/>
              </w:rPr>
              <w:t>3</w:t>
            </w:r>
            <w:r>
              <w:rPr>
                <w:rFonts w:hint="default" w:ascii="Times New Roman" w:hAnsi="Times New Roman" w:cs="Times New Roman"/>
                <w:color w:val="auto"/>
              </w:rPr>
              <w:t>0人，</w:t>
            </w:r>
            <w:r>
              <w:rPr>
                <w:rFonts w:hint="default" w:ascii="Times New Roman" w:hAnsi="Times New Roman" w:cs="Times New Roman"/>
                <w:color w:val="auto"/>
                <w:lang w:val="en-US" w:eastAsia="zh-CN"/>
              </w:rPr>
              <w:t>生活用水从桥头村自来水就近取用，</w:t>
            </w:r>
            <w:r>
              <w:rPr>
                <w:rFonts w:hint="default" w:ascii="Times New Roman" w:hAnsi="Times New Roman" w:cs="Times New Roman"/>
                <w:bCs/>
                <w:color w:val="auto"/>
                <w:sz w:val="24"/>
              </w:rPr>
              <w:t>根据《青海省生活用水定额》（DB63/T1429—20</w:t>
            </w:r>
            <w:r>
              <w:rPr>
                <w:rFonts w:hint="default" w:ascii="Times New Roman" w:hAnsi="Times New Roman" w:cs="Times New Roman"/>
                <w:bCs/>
                <w:color w:val="auto"/>
                <w:sz w:val="24"/>
                <w:lang w:val="en-US" w:eastAsia="zh-CN"/>
              </w:rPr>
              <w:t>21</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表30中海东市（公共取水点）用水</w:t>
            </w:r>
            <w:r>
              <w:rPr>
                <w:rFonts w:hint="default" w:ascii="Times New Roman" w:hAnsi="Times New Roman" w:cs="Times New Roman"/>
                <w:bCs/>
                <w:color w:val="auto"/>
                <w:sz w:val="24"/>
              </w:rPr>
              <w:t>定额为</w:t>
            </w:r>
            <w:r>
              <w:rPr>
                <w:rFonts w:hint="default" w:ascii="Times New Roman" w:hAnsi="Times New Roman" w:cs="Times New Roman"/>
                <w:bCs/>
                <w:color w:val="auto"/>
                <w:sz w:val="24"/>
                <w:lang w:val="en-US" w:eastAsia="zh-CN"/>
              </w:rPr>
              <w:t>40</w:t>
            </w:r>
            <w:r>
              <w:rPr>
                <w:rFonts w:hint="default" w:ascii="Times New Roman" w:hAnsi="Times New Roman" w:cs="Times New Roman"/>
                <w:bCs/>
                <w:color w:val="auto"/>
                <w:sz w:val="24"/>
              </w:rPr>
              <w:t>L/（人·d）计算，则本项目生活用水量</w:t>
            </w:r>
            <w:r>
              <w:rPr>
                <w:rFonts w:hint="default" w:ascii="Times New Roman" w:hAnsi="Times New Roman" w:cs="Times New Roman"/>
                <w:bCs/>
                <w:color w:val="auto"/>
                <w:sz w:val="24"/>
                <w:lang w:val="en-US" w:eastAsia="zh-CN"/>
              </w:rPr>
              <w:t>1.2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288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eastAsia="宋体" w:cs="Times New Roman"/>
                <w:color w:val="auto"/>
                <w:kern w:val="0"/>
                <w:sz w:val="24"/>
              </w:rPr>
              <w:t>排水系数以80%计，</w:t>
            </w:r>
            <w:r>
              <w:rPr>
                <w:rFonts w:hint="default" w:ascii="Times New Roman" w:hAnsi="Times New Roman" w:eastAsia="宋体" w:cs="Times New Roman"/>
                <w:color w:val="auto"/>
                <w:kern w:val="0"/>
                <w:sz w:val="24"/>
                <w:lang w:val="en-US" w:eastAsia="zh-CN"/>
              </w:rPr>
              <w:t>则</w:t>
            </w:r>
            <w:r>
              <w:rPr>
                <w:rFonts w:hint="default" w:ascii="Times New Roman" w:hAnsi="Times New Roman" w:eastAsia="宋体" w:cs="Times New Roman"/>
                <w:color w:val="auto"/>
                <w:kern w:val="0"/>
                <w:sz w:val="24"/>
              </w:rPr>
              <w:t>生活污水</w:t>
            </w:r>
            <w:r>
              <w:rPr>
                <w:rFonts w:hint="default" w:ascii="Times New Roman" w:hAnsi="Times New Roman" w:eastAsia="宋体" w:cs="Times New Roman"/>
                <w:color w:val="auto"/>
                <w:kern w:val="0"/>
                <w:sz w:val="24"/>
                <w:lang w:val="en-US" w:eastAsia="zh-CN"/>
              </w:rPr>
              <w:t>排放量0.96</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230.4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cs="Times New Roman"/>
                <w:bCs/>
                <w:color w:val="auto"/>
                <w:sz w:val="24"/>
                <w:lang w:val="en-US" w:eastAsia="zh-CN"/>
              </w:rPr>
              <w:t>施工营地设置1处防渗旱厕，</w:t>
            </w:r>
            <w:r>
              <w:rPr>
                <w:rFonts w:hint="default" w:ascii="Times New Roman" w:hAnsi="Times New Roman" w:eastAsia="宋体" w:cs="Times New Roman"/>
                <w:color w:val="auto"/>
                <w:kern w:val="0"/>
                <w:sz w:val="24"/>
              </w:rPr>
              <w:t>粪便废水进入旱厕后定期清掏作为</w:t>
            </w:r>
            <w:r>
              <w:rPr>
                <w:rFonts w:hint="default" w:ascii="Times New Roman" w:hAnsi="Times New Roman" w:eastAsia="宋体" w:cs="Times New Roman"/>
                <w:color w:val="auto"/>
                <w:kern w:val="0"/>
                <w:sz w:val="24"/>
                <w:lang w:val="en-US" w:eastAsia="zh-CN"/>
              </w:rPr>
              <w:t>周边农田农肥</w:t>
            </w:r>
            <w:r>
              <w:rPr>
                <w:rFonts w:hint="default" w:ascii="Times New Roman" w:hAnsi="Times New Roman" w:eastAsia="宋体" w:cs="Times New Roman"/>
                <w:color w:val="auto"/>
                <w:kern w:val="0"/>
                <w:sz w:val="24"/>
              </w:rPr>
              <w:t>使用</w:t>
            </w:r>
            <w:r>
              <w:rPr>
                <w:rFonts w:hint="default" w:ascii="Times New Roman" w:hAnsi="Times New Roman" w:cs="Times New Roman"/>
                <w:b w:val="0"/>
                <w:bCs/>
                <w:color w:val="auto"/>
                <w:sz w:val="24"/>
              </w:rPr>
              <w:t>；生活盥洗水污染负荷较低，收集后全部综合利用于</w:t>
            </w:r>
            <w:r>
              <w:rPr>
                <w:rFonts w:hint="default" w:ascii="Times New Roman" w:hAnsi="Times New Roman" w:cs="Times New Roman"/>
                <w:b w:val="0"/>
                <w:bCs/>
                <w:color w:val="auto"/>
                <w:sz w:val="24"/>
                <w:lang w:val="en-US" w:eastAsia="zh-CN"/>
              </w:rPr>
              <w:t>施工场地</w:t>
            </w:r>
            <w:r>
              <w:rPr>
                <w:rFonts w:hint="default" w:ascii="Times New Roman" w:hAnsi="Times New Roman" w:cs="Times New Roman"/>
                <w:b w:val="0"/>
                <w:bCs/>
                <w:color w:val="auto"/>
                <w:sz w:val="24"/>
              </w:rPr>
              <w:t>洒水降尘</w:t>
            </w:r>
            <w:r>
              <w:rPr>
                <w:rFonts w:hint="default" w:ascii="Times New Roman" w:hAnsi="Times New Roman" w:cs="Times New Roman"/>
                <w:b w:val="0"/>
                <w:bCs/>
                <w:color w:val="auto"/>
                <w:sz w:val="24"/>
                <w:lang w:eastAsia="zh-CN"/>
              </w:rPr>
              <w:t>。</w:t>
            </w:r>
            <w:r>
              <w:rPr>
                <w:rFonts w:hint="default" w:ascii="Times New Roman" w:hAnsi="Times New Roman" w:cs="Times New Roman"/>
                <w:color w:val="auto"/>
                <w:kern w:val="0"/>
                <w:sz w:val="24"/>
              </w:rPr>
              <w:t xml:space="preserve"> </w:t>
            </w:r>
          </w:p>
          <w:p>
            <w:pPr>
              <w:spacing w:line="360" w:lineRule="auto"/>
              <w:rPr>
                <w:rFonts w:hint="default" w:ascii="Times New Roman" w:hAnsi="Times New Roman" w:cs="Times New Roman"/>
                <w:b/>
                <w:bCs/>
                <w:color w:val="auto"/>
              </w:rPr>
            </w:pPr>
            <w:r>
              <w:rPr>
                <w:rFonts w:hint="default" w:ascii="Times New Roman" w:hAnsi="Times New Roman" w:cs="Times New Roman"/>
                <w:b/>
                <w:bCs/>
                <w:color w:val="auto"/>
              </w:rPr>
              <w:t>3、环境空气影响分析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本工程建设对环境空气影响主要是土石方作业扬尘、施工机械尾气排放对环境空气的影响。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①扬尘</w:t>
            </w:r>
          </w:p>
          <w:p>
            <w:pPr>
              <w:spacing w:line="360" w:lineRule="auto"/>
              <w:ind w:firstLine="48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工程使用商品混凝土，不在施工现场拌合，无拌合、水泥堆放扬尘；工程垫层采用的砂砾石从化隆县就近砂厂购买，随用随买，不在施工现场堆放。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本工程建设扬尘主要来源于土石方</w:t>
            </w:r>
            <w:r>
              <w:rPr>
                <w:rFonts w:hint="eastAsia" w:cs="Times New Roman"/>
                <w:color w:val="auto"/>
                <w:lang w:val="en-US" w:eastAsia="zh-CN"/>
              </w:rPr>
              <w:t>挖填</w:t>
            </w:r>
            <w:r>
              <w:rPr>
                <w:rFonts w:hint="eastAsia" w:cs="Times New Roman"/>
                <w:color w:val="auto"/>
                <w:lang w:eastAsia="zh-CN"/>
              </w:rPr>
              <w:t>、</w:t>
            </w:r>
            <w:r>
              <w:rPr>
                <w:rFonts w:hint="default" w:ascii="Times New Roman" w:hAnsi="Times New Roman" w:cs="Times New Roman"/>
                <w:color w:val="auto"/>
              </w:rPr>
              <w:t>堆放、物料运输，扬尘的影响范围一般在100m以内，但大风等不利条件下其影响范围可能扩大，造成局部地区短时间内环境空气中TSP超标。本工程施工场地分散，工程沿线居民点较多，施工扬尘会对</w:t>
            </w:r>
            <w:r>
              <w:rPr>
                <w:rFonts w:hint="default" w:ascii="Times New Roman" w:hAnsi="Times New Roman" w:cs="Times New Roman"/>
                <w:color w:val="auto"/>
                <w:lang w:val="en-US" w:eastAsia="zh-CN"/>
              </w:rPr>
              <w:t>沿线</w:t>
            </w:r>
            <w:r>
              <w:rPr>
                <w:rFonts w:hint="default" w:ascii="Times New Roman" w:hAnsi="Times New Roman" w:cs="Times New Roman"/>
                <w:color w:val="auto"/>
              </w:rPr>
              <w:t>村庄居民产生一定影响。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在采取土石方</w:t>
            </w:r>
            <w:r>
              <w:rPr>
                <w:rFonts w:hint="eastAsia" w:cs="Times New Roman"/>
                <w:color w:val="auto"/>
                <w:lang w:val="en-US" w:eastAsia="zh-CN"/>
              </w:rPr>
              <w:t>挖填时洒水、土方堆放进行</w:t>
            </w:r>
            <w:r>
              <w:rPr>
                <w:rFonts w:hint="default" w:ascii="Times New Roman" w:hAnsi="Times New Roman" w:cs="Times New Roman"/>
                <w:color w:val="auto"/>
                <w:lang w:val="en-US" w:eastAsia="zh-CN"/>
              </w:rPr>
              <w:t>苫盖</w:t>
            </w:r>
            <w:r>
              <w:rPr>
                <w:rFonts w:hint="default" w:ascii="Times New Roman" w:hAnsi="Times New Roman" w:cs="Times New Roman"/>
                <w:color w:val="auto"/>
              </w:rPr>
              <w:t>、</w:t>
            </w:r>
            <w:r>
              <w:rPr>
                <w:rFonts w:hint="eastAsia" w:cs="Times New Roman"/>
                <w:color w:val="auto"/>
                <w:lang w:val="en-US" w:eastAsia="zh-CN"/>
              </w:rPr>
              <w:t>物料运输</w:t>
            </w:r>
            <w:r>
              <w:rPr>
                <w:rFonts w:hint="default" w:ascii="Times New Roman" w:hAnsi="Times New Roman" w:cs="Times New Roman"/>
                <w:color w:val="auto"/>
              </w:rPr>
              <w:t>车辆密闭等措施后，可有效控制扬尘对周边居民的影响，工程建设对环境空气影响小，且扬尘影响在施工结束后消失。</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②机械尾气</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本工程建设机械尾气主要来源于运输车辆和施工机械主要污染物为CO、NO</w:t>
            </w:r>
            <w:r>
              <w:rPr>
                <w:rFonts w:hint="default" w:ascii="Times New Roman" w:hAnsi="Times New Roman" w:cs="Times New Roman"/>
                <w:color w:val="auto"/>
                <w:vertAlign w:val="subscript"/>
              </w:rPr>
              <w:t>X</w:t>
            </w:r>
            <w:r>
              <w:rPr>
                <w:rFonts w:hint="default" w:ascii="Times New Roman" w:hAnsi="Times New Roman" w:cs="Times New Roman"/>
                <w:color w:val="auto"/>
              </w:rPr>
              <w:t>以及未完全燃烧的THC。本工程建设机械尾气产生量小且施工机械多在野外运行，污染物扩散条件好，本工程建设机械尾气对环境空气的影响小。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综上所述，本工程建设对环境空气的影响小，可接受。</w:t>
            </w:r>
          </w:p>
          <w:p>
            <w:pPr>
              <w:spacing w:line="360" w:lineRule="auto"/>
              <w:rPr>
                <w:rFonts w:hint="default" w:ascii="Times New Roman" w:hAnsi="Times New Roman" w:cs="Times New Roman"/>
                <w:b/>
                <w:bCs/>
                <w:color w:val="auto"/>
              </w:rPr>
            </w:pPr>
            <w:r>
              <w:rPr>
                <w:rFonts w:hint="default" w:ascii="Times New Roman" w:hAnsi="Times New Roman" w:cs="Times New Roman"/>
                <w:b/>
                <w:bCs/>
                <w:color w:val="auto"/>
              </w:rPr>
              <w:t>4、声环境影响分析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本工程建设主要有挖掘机、自卸汽车、振荡器、起重机等噪声声源，声源源强如下表所示。</w:t>
            </w:r>
          </w:p>
          <w:p>
            <w:pPr>
              <w:jc w:val="center"/>
              <w:rPr>
                <w:rFonts w:hint="default" w:ascii="Times New Roman" w:hAnsi="Times New Roman" w:cs="Times New Roman"/>
                <w:b/>
                <w:bCs/>
                <w:color w:val="auto"/>
              </w:rPr>
            </w:pPr>
          </w:p>
          <w:p>
            <w:pPr>
              <w:jc w:val="center"/>
              <w:rPr>
                <w:rFonts w:hint="default" w:ascii="Times New Roman" w:hAnsi="Times New Roman" w:cs="Times New Roman"/>
                <w:b/>
                <w:bCs/>
                <w:color w:val="auto"/>
              </w:rPr>
            </w:pPr>
          </w:p>
          <w:p>
            <w:pPr>
              <w:jc w:val="center"/>
              <w:rPr>
                <w:rFonts w:hint="default" w:ascii="Times New Roman" w:hAnsi="Times New Roman" w:cs="Times New Roman"/>
                <w:b/>
                <w:bCs/>
                <w:color w:val="auto"/>
              </w:rPr>
            </w:pPr>
          </w:p>
          <w:p>
            <w:pPr>
              <w:jc w:val="center"/>
              <w:rPr>
                <w:rFonts w:hint="default" w:ascii="Times New Roman" w:hAnsi="Times New Roman" w:cs="Times New Roman"/>
                <w:b/>
                <w:bCs/>
                <w:color w:val="auto"/>
              </w:rPr>
            </w:pPr>
            <w:r>
              <w:rPr>
                <w:rFonts w:hint="default" w:ascii="Times New Roman" w:hAnsi="Times New Roman" w:cs="Times New Roman"/>
                <w:b/>
                <w:bCs/>
                <w:color w:val="auto"/>
              </w:rPr>
              <w:t>表4-1  主要声源源强一览表  单位：dB（A）</w:t>
            </w:r>
          </w:p>
          <w:tbl>
            <w:tblPr>
              <w:tblStyle w:val="23"/>
              <w:tblW w:w="49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5"/>
              <w:gridCol w:w="2115"/>
              <w:gridCol w:w="1694"/>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09" w:type="pct"/>
                  <w:tcBorders>
                    <w:tl2br w:val="nil"/>
                    <w:tr2bl w:val="nil"/>
                  </w:tcBorders>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声源名称</w:t>
                  </w:r>
                </w:p>
              </w:tc>
              <w:tc>
                <w:tcPr>
                  <w:tcW w:w="1402" w:type="pct"/>
                  <w:tcBorders>
                    <w:tl2br w:val="nil"/>
                    <w:tr2bl w:val="nil"/>
                  </w:tcBorders>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声源类型</w:t>
                  </w:r>
                </w:p>
              </w:tc>
              <w:tc>
                <w:tcPr>
                  <w:tcW w:w="1123" w:type="pct"/>
                  <w:tcBorders>
                    <w:tl2br w:val="nil"/>
                    <w:tr2bl w:val="nil"/>
                  </w:tcBorders>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声源A声级</w:t>
                  </w:r>
                </w:p>
              </w:tc>
              <w:tc>
                <w:tcPr>
                  <w:tcW w:w="1164" w:type="pct"/>
                  <w:tcBorders>
                    <w:tl2br w:val="nil"/>
                    <w:tr2bl w:val="nil"/>
                  </w:tcBorders>
                </w:tcPr>
                <w:p>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测量距离（5m）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09"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挖掘机</w:t>
                  </w:r>
                </w:p>
              </w:tc>
              <w:tc>
                <w:tcPr>
                  <w:tcW w:w="1402"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流动声源</w:t>
                  </w:r>
                </w:p>
              </w:tc>
              <w:tc>
                <w:tcPr>
                  <w:tcW w:w="1123"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82</w:t>
                  </w:r>
                </w:p>
              </w:tc>
              <w:tc>
                <w:tcPr>
                  <w:tcW w:w="1164"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09"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自卸汽车</w:t>
                  </w:r>
                </w:p>
              </w:tc>
              <w:tc>
                <w:tcPr>
                  <w:tcW w:w="1402"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流动声源</w:t>
                  </w:r>
                </w:p>
              </w:tc>
              <w:tc>
                <w:tcPr>
                  <w:tcW w:w="1123"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84</w:t>
                  </w:r>
                </w:p>
              </w:tc>
              <w:tc>
                <w:tcPr>
                  <w:tcW w:w="1164"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09"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振荡器</w:t>
                  </w:r>
                </w:p>
              </w:tc>
              <w:tc>
                <w:tcPr>
                  <w:tcW w:w="1402"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固定声源</w:t>
                  </w:r>
                </w:p>
              </w:tc>
              <w:tc>
                <w:tcPr>
                  <w:tcW w:w="1123"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80</w:t>
                  </w:r>
                </w:p>
              </w:tc>
              <w:tc>
                <w:tcPr>
                  <w:tcW w:w="1164"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09"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起重机</w:t>
                  </w:r>
                </w:p>
              </w:tc>
              <w:tc>
                <w:tcPr>
                  <w:tcW w:w="1402"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流动声源</w:t>
                  </w:r>
                </w:p>
              </w:tc>
              <w:tc>
                <w:tcPr>
                  <w:tcW w:w="1123"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82</w:t>
                  </w:r>
                </w:p>
              </w:tc>
              <w:tc>
                <w:tcPr>
                  <w:tcW w:w="1164" w:type="pct"/>
                  <w:tcBorders>
                    <w:tl2br w:val="nil"/>
                    <w:tr2bl w:val="nil"/>
                  </w:tcBorders>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bl>
          <w:p>
            <w:pPr>
              <w:adjustRightInd w:val="0"/>
              <w:snapToGrid w:val="0"/>
              <w:spacing w:beforeLines="50"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将声源简化为点声源，预测时仅考虑几何发散衰减，进行声环境影响分析。点声源几何发散衰减衰减公式如下。</w:t>
            </w:r>
          </w:p>
          <w:p>
            <w:pPr>
              <w:adjustRightInd w:val="0"/>
              <w:snapToGrid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t>Lp</w:t>
            </w:r>
            <w:r>
              <w:rPr>
                <w:rFonts w:hint="default" w:ascii="Times New Roman" w:hAnsi="Times New Roman" w:cs="Times New Roman"/>
                <w:color w:val="auto"/>
                <w:vertAlign w:val="subscript"/>
              </w:rPr>
              <w:t>（r）</w:t>
            </w:r>
            <w:r>
              <w:rPr>
                <w:rFonts w:hint="default" w:ascii="Times New Roman" w:hAnsi="Times New Roman" w:cs="Times New Roman"/>
                <w:color w:val="auto"/>
              </w:rPr>
              <w:t>=Lp</w:t>
            </w:r>
            <w:r>
              <w:rPr>
                <w:rFonts w:hint="default" w:ascii="Times New Roman" w:hAnsi="Times New Roman" w:cs="Times New Roman"/>
                <w:color w:val="auto"/>
                <w:vertAlign w:val="subscript"/>
              </w:rPr>
              <w:t>(r0)</w:t>
            </w:r>
            <w:r>
              <w:rPr>
                <w:rFonts w:hint="default" w:ascii="Times New Roman" w:hAnsi="Times New Roman" w:cs="Times New Roman"/>
                <w:color w:val="auto"/>
                <w:vertAlign w:val="subscript"/>
              </w:rPr>
              <w:softHyphen/>
            </w:r>
            <w:r>
              <w:rPr>
                <w:rFonts w:hint="default" w:ascii="Times New Roman" w:hAnsi="Times New Roman" w:cs="Times New Roman"/>
                <w:color w:val="auto"/>
              </w:rPr>
              <w:t>-20lg(r/r0)</w:t>
            </w:r>
          </w:p>
          <w:p>
            <w:pPr>
              <w:adjustRightInd w:val="0"/>
              <w:snapToGrid w:val="0"/>
              <w:spacing w:line="360" w:lineRule="auto"/>
              <w:ind w:firstLine="480" w:firstLineChars="200"/>
              <w:rPr>
                <w:rFonts w:hint="default" w:ascii="Times New Roman" w:hAnsi="Times New Roman" w:cs="Times New Roman"/>
                <w:color w:val="auto"/>
                <w:szCs w:val="21"/>
              </w:rPr>
            </w:pPr>
            <w:r>
              <w:rPr>
                <w:rFonts w:hint="default" w:ascii="Times New Roman" w:hAnsi="Times New Roman" w:cs="Times New Roman"/>
                <w:color w:val="auto"/>
                <w:szCs w:val="21"/>
              </w:rPr>
              <w:t>式中：Lp</w:t>
            </w:r>
            <w:r>
              <w:rPr>
                <w:rFonts w:hint="default" w:ascii="Times New Roman" w:hAnsi="Times New Roman" w:cs="Times New Roman"/>
                <w:color w:val="auto"/>
                <w:szCs w:val="21"/>
                <w:vertAlign w:val="subscript"/>
              </w:rPr>
              <w:t>（r）</w:t>
            </w:r>
            <w:r>
              <w:rPr>
                <w:rFonts w:hint="default" w:ascii="Times New Roman" w:hAnsi="Times New Roman" w:cs="Times New Roman"/>
                <w:color w:val="auto"/>
                <w:szCs w:val="21"/>
              </w:rPr>
              <w:t>—距声源rm处的A声压级dB(A)；</w:t>
            </w:r>
          </w:p>
          <w:p>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 xml:space="preserve">          Lp</w:t>
            </w:r>
            <w:r>
              <w:rPr>
                <w:rFonts w:hint="default" w:ascii="Times New Roman" w:hAnsi="Times New Roman" w:cs="Times New Roman"/>
                <w:color w:val="auto"/>
                <w:szCs w:val="21"/>
                <w:vertAlign w:val="subscript"/>
              </w:rPr>
              <w:t>(r0)</w:t>
            </w:r>
            <w:r>
              <w:rPr>
                <w:rFonts w:hint="default" w:ascii="Times New Roman" w:hAnsi="Times New Roman" w:cs="Times New Roman"/>
                <w:color w:val="auto"/>
                <w:szCs w:val="21"/>
                <w:vertAlign w:val="subscript"/>
              </w:rPr>
              <w:softHyphen/>
            </w:r>
            <w:r>
              <w:rPr>
                <w:rFonts w:hint="default" w:ascii="Times New Roman" w:hAnsi="Times New Roman" w:cs="Times New Roman"/>
                <w:color w:val="auto"/>
                <w:szCs w:val="21"/>
              </w:rPr>
              <w:t>—距噪声源r0m处的A声压级dB(A)；</w:t>
            </w:r>
          </w:p>
          <w:p>
            <w:pPr>
              <w:adjustRightInd w:val="0"/>
              <w:snapToGrid w:val="0"/>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szCs w:val="21"/>
              </w:rPr>
              <w:t xml:space="preserve">             r—噪声源距受声点的距离，m。</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rPr>
              <w:t>根据上式计算，距本工程声源不同距离处声源所产生的声压级计算结果如下表所示。</w:t>
            </w:r>
          </w:p>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b/>
                <w:color w:val="auto"/>
                <w:kern w:val="0"/>
              </w:rPr>
              <w:t xml:space="preserve">表4-2  距本工程声源不同距离处声源所产生的声压级  </w:t>
            </w:r>
            <w:r>
              <w:rPr>
                <w:rFonts w:hint="default" w:ascii="Times New Roman" w:hAnsi="Times New Roman" w:cs="Times New Roman"/>
                <w:b/>
                <w:bCs w:val="0"/>
                <w:color w:val="auto"/>
                <w:kern w:val="0"/>
              </w:rPr>
              <w:t>单位</w:t>
            </w:r>
            <w:r>
              <w:rPr>
                <w:rFonts w:hint="default" w:ascii="Times New Roman" w:hAnsi="Times New Roman" w:cs="Times New Roman"/>
                <w:b/>
                <w:bCs w:val="0"/>
                <w:color w:val="auto"/>
                <w:szCs w:val="18"/>
              </w:rPr>
              <w:t>：dB（A）</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807"/>
              <w:gridCol w:w="810"/>
              <w:gridCol w:w="807"/>
              <w:gridCol w:w="807"/>
              <w:gridCol w:w="807"/>
              <w:gridCol w:w="807"/>
              <w:gridCol w:w="808"/>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vMerge w:val="restart"/>
                  <w:noWrap/>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声源名称</w:t>
                  </w:r>
                </w:p>
              </w:tc>
              <w:tc>
                <w:tcPr>
                  <w:tcW w:w="4286" w:type="pct"/>
                  <w:gridSpan w:val="8"/>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vMerge w:val="continue"/>
                  <w:noWrap/>
                  <w:vAlign w:val="center"/>
                </w:tcPr>
                <w:p>
                  <w:pPr>
                    <w:pStyle w:val="50"/>
                    <w:rPr>
                      <w:rFonts w:hint="default" w:ascii="Times New Roman" w:hAnsi="Times New Roman" w:eastAsia="宋体" w:cs="Times New Roman"/>
                      <w:b/>
                      <w:color w:val="auto"/>
                      <w:sz w:val="21"/>
                      <w:szCs w:val="21"/>
                    </w:rPr>
                  </w:pPr>
                </w:p>
              </w:tc>
              <w:tc>
                <w:tcPr>
                  <w:tcW w:w="534"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10</w:t>
                  </w:r>
                </w:p>
              </w:tc>
              <w:tc>
                <w:tcPr>
                  <w:tcW w:w="536"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w:t>
                  </w:r>
                </w:p>
              </w:tc>
              <w:tc>
                <w:tcPr>
                  <w:tcW w:w="534"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40</w:t>
                  </w:r>
                </w:p>
              </w:tc>
              <w:tc>
                <w:tcPr>
                  <w:tcW w:w="534"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60</w:t>
                  </w:r>
                </w:p>
              </w:tc>
              <w:tc>
                <w:tcPr>
                  <w:tcW w:w="534"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80</w:t>
                  </w:r>
                </w:p>
              </w:tc>
              <w:tc>
                <w:tcPr>
                  <w:tcW w:w="534"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100</w:t>
                  </w:r>
                </w:p>
              </w:tc>
              <w:tc>
                <w:tcPr>
                  <w:tcW w:w="535"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120</w:t>
                  </w:r>
                </w:p>
              </w:tc>
              <w:tc>
                <w:tcPr>
                  <w:tcW w:w="538" w:type="pct"/>
                  <w:vAlign w:val="center"/>
                </w:tcPr>
                <w:p>
                  <w:pPr>
                    <w:pStyle w:val="5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536"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60.4</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535"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w:t>
                  </w:r>
                </w:p>
              </w:tc>
              <w:tc>
                <w:tcPr>
                  <w:tcW w:w="538"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自卸汽车</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74.0</w:t>
                  </w:r>
                </w:p>
              </w:tc>
              <w:tc>
                <w:tcPr>
                  <w:tcW w:w="536"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56.4</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535"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c>
                <w:tcPr>
                  <w:tcW w:w="538"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振荡器</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74.0</w:t>
                  </w:r>
                </w:p>
              </w:tc>
              <w:tc>
                <w:tcPr>
                  <w:tcW w:w="536"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56.4</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535"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c>
                <w:tcPr>
                  <w:tcW w:w="538"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3"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起重机</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536"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60.4</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58.0</w:t>
                  </w:r>
                </w:p>
              </w:tc>
              <w:tc>
                <w:tcPr>
                  <w:tcW w:w="534"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535"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w:t>
                  </w:r>
                </w:p>
              </w:tc>
              <w:tc>
                <w:tcPr>
                  <w:tcW w:w="538" w:type="pct"/>
                  <w:noWrap/>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r>
          </w:tbl>
          <w:p>
            <w:pPr>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由上表可以看出，本工程施工期间，施工噪声在距离声源20m以外可以达到《建筑施工场界环境噪声排放标准》（GB12523-2011）昼间70dB(A)限值的要求，夜间100m以外可以达到55dB(A)的要求。</w:t>
            </w:r>
          </w:p>
          <w:p>
            <w:pPr>
              <w:widowControl/>
              <w:adjustRightInd w:val="0"/>
              <w:snapToGrid w:val="0"/>
              <w:spacing w:line="360" w:lineRule="auto"/>
              <w:ind w:firstLine="480" w:firstLineChars="200"/>
              <w:rPr>
                <w:rFonts w:hint="default" w:ascii="Times New Roman" w:hAnsi="Times New Roman" w:cs="Times New Roman"/>
                <w:color w:val="auto"/>
                <w:highlight w:val="yellow"/>
              </w:rPr>
            </w:pPr>
            <w:r>
              <w:rPr>
                <w:rFonts w:hint="default" w:ascii="Times New Roman" w:hAnsi="Times New Roman" w:cs="Times New Roman"/>
                <w:color w:val="auto"/>
              </w:rPr>
              <w:t>为评价工程建设对声环境保护目标的影响，以工程声源声压级最大的单个声源为对象，采用点源几何发散衰减公式对工程沿线距离在</w:t>
            </w:r>
            <w:r>
              <w:rPr>
                <w:rFonts w:hint="eastAsia" w:cs="Times New Roman"/>
                <w:color w:val="auto"/>
                <w:lang w:val="en-US" w:eastAsia="zh-CN"/>
              </w:rPr>
              <w:t>1</w:t>
            </w:r>
            <w:r>
              <w:rPr>
                <w:rFonts w:hint="default" w:ascii="Times New Roman" w:hAnsi="Times New Roman" w:cs="Times New Roman"/>
                <w:color w:val="auto"/>
                <w:lang w:val="en-US" w:eastAsia="zh-CN"/>
              </w:rPr>
              <w:t>0</w:t>
            </w:r>
            <w:r>
              <w:rPr>
                <w:rFonts w:hint="default" w:ascii="Times New Roman" w:hAnsi="Times New Roman" w:cs="Times New Roman"/>
                <w:color w:val="auto"/>
              </w:rPr>
              <w:t>m范围内的第一排声环境保护目标进行贡献值预测，预测结果如下表所示。</w:t>
            </w:r>
          </w:p>
          <w:p>
            <w:pPr>
              <w:widowControl/>
              <w:spacing w:beforeLines="50"/>
              <w:jc w:val="center"/>
              <w:rPr>
                <w:rFonts w:hint="default" w:ascii="Times New Roman" w:hAnsi="Times New Roman" w:cs="Times New Roman"/>
                <w:b/>
                <w:color w:val="auto"/>
              </w:rPr>
            </w:pPr>
            <w:r>
              <w:rPr>
                <w:rFonts w:hint="default" w:ascii="Times New Roman" w:hAnsi="Times New Roman" w:cs="Times New Roman"/>
                <w:b/>
                <w:color w:val="auto"/>
              </w:rPr>
              <w:t>表4-3  声源对保护目标声压级的贡献值一览</w:t>
            </w:r>
            <w:r>
              <w:rPr>
                <w:rFonts w:hint="default" w:ascii="Times New Roman" w:hAnsi="Times New Roman" w:cs="Times New Roman"/>
                <w:b/>
                <w:bCs w:val="0"/>
                <w:color w:val="auto"/>
              </w:rPr>
              <w:t xml:space="preserve">表  </w:t>
            </w:r>
            <w:r>
              <w:rPr>
                <w:rFonts w:hint="default" w:ascii="Times New Roman" w:hAnsi="Times New Roman" w:cs="Times New Roman"/>
                <w:b/>
                <w:bCs w:val="0"/>
                <w:color w:val="auto"/>
                <w:kern w:val="0"/>
              </w:rPr>
              <w:t>单位</w:t>
            </w:r>
            <w:r>
              <w:rPr>
                <w:rFonts w:hint="default" w:ascii="Times New Roman" w:hAnsi="Times New Roman" w:cs="Times New Roman"/>
                <w:b/>
                <w:bCs w:val="0"/>
                <w:color w:val="auto"/>
                <w:szCs w:val="18"/>
              </w:rPr>
              <w:t>：dB（A）</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41"/>
              <w:gridCol w:w="992"/>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749"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651"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距离（m）</w:t>
                  </w:r>
                </w:p>
              </w:tc>
              <w:tc>
                <w:tcPr>
                  <w:tcW w:w="1089"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背景值</w:t>
                  </w:r>
                </w:p>
              </w:tc>
              <w:tc>
                <w:tcPr>
                  <w:tcW w:w="1089"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贡献值</w:t>
                  </w:r>
                </w:p>
              </w:tc>
              <w:tc>
                <w:tcPr>
                  <w:tcW w:w="1089"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val="en-US" w:eastAsia="zh-CN"/>
                    </w:rPr>
                    <w:t>贡献叠加值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30"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49"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东滩六村</w:t>
                  </w:r>
                </w:p>
              </w:tc>
              <w:tc>
                <w:tcPr>
                  <w:tcW w:w="651"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49.5</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30"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749" w:type="pct"/>
                  <w:vAlign w:val="center"/>
                </w:tcPr>
                <w:p>
                  <w:pPr>
                    <w:tabs>
                      <w:tab w:val="center" w:pos="4153"/>
                      <w:tab w:val="right" w:pos="8306"/>
                    </w:tabs>
                    <w:spacing w:line="280" w:lineRule="atLeast"/>
                    <w:ind w:left="-48" w:leftChars="-20" w:right="-48" w:rightChars="-2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桥头村</w:t>
                  </w:r>
                </w:p>
              </w:tc>
              <w:tc>
                <w:tcPr>
                  <w:tcW w:w="651"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47.8</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30"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749"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新村</w:t>
                  </w:r>
                </w:p>
              </w:tc>
              <w:tc>
                <w:tcPr>
                  <w:tcW w:w="651"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紧邻</w:t>
                  </w:r>
                </w:p>
              </w:tc>
              <w:tc>
                <w:tcPr>
                  <w:tcW w:w="1089" w:type="pct"/>
                  <w:vAlign w:val="center"/>
                </w:tcPr>
                <w:p>
                  <w:pPr>
                    <w:spacing w:line="280" w:lineRule="atLeast"/>
                    <w:ind w:left="-48" w:leftChars="-20" w:right="-48" w:rightChars="-2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56.4</w:t>
                  </w:r>
                </w:p>
              </w:tc>
              <w:tc>
                <w:tcPr>
                  <w:tcW w:w="1089" w:type="pct"/>
                  <w:vAlign w:val="center"/>
                </w:tcPr>
                <w:p>
                  <w:pPr>
                    <w:spacing w:line="280" w:lineRule="atLeast"/>
                    <w:ind w:left="-48" w:leftChars="-20" w:right="-48" w:rightChars="-2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78</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30"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749" w:type="pct"/>
                  <w:vAlign w:val="center"/>
                </w:tcPr>
                <w:p>
                  <w:pPr>
                    <w:tabs>
                      <w:tab w:val="center" w:pos="4153"/>
                      <w:tab w:val="right" w:pos="8306"/>
                    </w:tabs>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东滩五村</w:t>
                  </w:r>
                </w:p>
              </w:tc>
              <w:tc>
                <w:tcPr>
                  <w:tcW w:w="651"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089" w:type="pct"/>
                  <w:vAlign w:val="center"/>
                </w:tcPr>
                <w:p>
                  <w:pPr>
                    <w:spacing w:line="280" w:lineRule="atLeast"/>
                    <w:ind w:left="-48" w:leftChars="-20" w:right="-48" w:rightChars="-2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55.8</w:t>
                  </w:r>
                </w:p>
              </w:tc>
              <w:tc>
                <w:tcPr>
                  <w:tcW w:w="1089" w:type="pct"/>
                  <w:vAlign w:val="center"/>
                </w:tcPr>
                <w:p>
                  <w:pPr>
                    <w:spacing w:line="280" w:lineRule="atLeast"/>
                    <w:ind w:left="-48" w:leftChars="-20" w:right="-48" w:rightChars="-2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1089" w:type="pct"/>
                  <w:vAlign w:val="center"/>
                </w:tcPr>
                <w:p>
                  <w:pPr>
                    <w:spacing w:line="280" w:lineRule="atLeast"/>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71.2</w:t>
                  </w:r>
                </w:p>
              </w:tc>
            </w:tr>
          </w:tbl>
          <w:p>
            <w:pPr>
              <w:pStyle w:val="22"/>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本次项目周围最近的敏感点</w:t>
            </w:r>
            <w:r>
              <w:rPr>
                <w:rFonts w:hint="default" w:ascii="Times New Roman" w:hAnsi="Times New Roman" w:cs="Times New Roman"/>
                <w:color w:val="auto"/>
                <w:lang w:val="en-US" w:eastAsia="zh-CN"/>
              </w:rPr>
              <w:t>沟道两侧东滩六村、桥头村、新村、东滩五村</w:t>
            </w:r>
            <w:r>
              <w:rPr>
                <w:rFonts w:hint="default" w:ascii="Times New Roman" w:hAnsi="Times New Roman" w:cs="Times New Roman"/>
                <w:color w:val="auto"/>
              </w:rPr>
              <w:t>，工程夜间不施工，</w:t>
            </w:r>
            <w:r>
              <w:rPr>
                <w:rFonts w:hint="default" w:ascii="Times New Roman" w:hAnsi="Times New Roman" w:cs="Times New Roman"/>
                <w:color w:val="auto"/>
                <w:lang w:val="en-US" w:eastAsia="zh-CN"/>
              </w:rPr>
              <w:t>各敏感点</w:t>
            </w:r>
            <w:r>
              <w:rPr>
                <w:rFonts w:hint="default" w:ascii="Times New Roman" w:hAnsi="Times New Roman" w:cs="Times New Roman"/>
                <w:color w:val="auto"/>
              </w:rPr>
              <w:t>距离工程较近，在不采取措施的情况下，施工噪声将影响村民正常生活，因此，在</w:t>
            </w:r>
            <w:r>
              <w:rPr>
                <w:rFonts w:hint="default" w:ascii="Times New Roman" w:hAnsi="Times New Roman" w:cs="Times New Roman"/>
                <w:color w:val="auto"/>
                <w:lang w:val="en-US" w:eastAsia="zh-CN"/>
              </w:rPr>
              <w:t>敏感点段</w:t>
            </w:r>
            <w:r>
              <w:rPr>
                <w:rFonts w:hint="default" w:ascii="Times New Roman" w:hAnsi="Times New Roman" w:cs="Times New Roman"/>
                <w:color w:val="auto"/>
              </w:rPr>
              <w:t>施工时，设置临时隔声屏障，可降低噪声20dB(A)，因此，采取临时声屏障措施后，</w:t>
            </w:r>
            <w:r>
              <w:rPr>
                <w:rFonts w:hint="default" w:ascii="Times New Roman" w:hAnsi="Times New Roman" w:cs="Times New Roman"/>
                <w:color w:val="auto"/>
                <w:lang w:val="en-US" w:eastAsia="zh-CN"/>
              </w:rPr>
              <w:t>各敏感点</w:t>
            </w:r>
            <w:r>
              <w:rPr>
                <w:rFonts w:hint="default" w:ascii="Times New Roman" w:hAnsi="Times New Roman" w:cs="Times New Roman"/>
                <w:color w:val="auto"/>
              </w:rPr>
              <w:t>施工期间声环境可满足《声环境质量标准》（GB3096-2008）中2类标准。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在采取评价要求的噪声污染防止措施后，本工程建设对声环境保护目标的影响可接受，施工结束后噪声影响消失。</w:t>
            </w:r>
          </w:p>
          <w:p>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color w:val="auto"/>
                <w:kern w:val="0"/>
                <w:szCs w:val="22"/>
              </w:rPr>
              <w:t>5、固体废物影响分析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施工过程中固体废弃物主要来源于</w:t>
            </w:r>
            <w:r>
              <w:rPr>
                <w:rFonts w:hint="default" w:ascii="Times New Roman" w:hAnsi="Times New Roman" w:cs="Times New Roman"/>
                <w:color w:val="auto"/>
                <w:lang w:val="en-US" w:eastAsia="zh-CN"/>
              </w:rPr>
              <w:t>沟道开挖</w:t>
            </w:r>
            <w:r>
              <w:rPr>
                <w:rFonts w:hint="default" w:ascii="Times New Roman" w:hAnsi="Times New Roman" w:cs="Times New Roman"/>
                <w:color w:val="auto"/>
              </w:rPr>
              <w:t>产生的弃方，施工建筑垃圾及施工人员生活垃圾。</w:t>
            </w:r>
          </w:p>
          <w:p>
            <w:pPr>
              <w:spacing w:line="360" w:lineRule="auto"/>
              <w:ind w:firstLine="480" w:firstLineChars="200"/>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rPr>
              <w:t>①</w:t>
            </w:r>
            <w:r>
              <w:rPr>
                <w:rFonts w:hint="default" w:ascii="Times New Roman" w:hAnsi="Times New Roman" w:cs="Times New Roman"/>
                <w:color w:val="auto"/>
                <w:lang w:val="en-US" w:eastAsia="zh-CN"/>
              </w:rPr>
              <w:t>弃土</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本工程挖方总量为</w:t>
            </w:r>
            <w:r>
              <w:rPr>
                <w:rFonts w:hint="default" w:ascii="Times New Roman" w:hAnsi="Times New Roman" w:cs="Times New Roman"/>
                <w:color w:val="auto"/>
                <w:lang w:val="en-US" w:eastAsia="zh-CN"/>
              </w:rPr>
              <w:t>42525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rPr>
              <w:t>土石方回填总量为</w:t>
            </w:r>
            <w:r>
              <w:rPr>
                <w:rFonts w:hint="default" w:ascii="Times New Roman" w:hAnsi="Times New Roman" w:cs="Times New Roman"/>
                <w:color w:val="auto"/>
                <w:lang w:val="en-US" w:eastAsia="zh-CN"/>
              </w:rPr>
              <w:t>42525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无弃</w:t>
            </w:r>
            <w:r>
              <w:rPr>
                <w:rFonts w:hint="eastAsia" w:cs="Times New Roman"/>
                <w:color w:val="auto"/>
                <w:lang w:val="en-US" w:eastAsia="zh-CN"/>
              </w:rPr>
              <w:t>土</w:t>
            </w:r>
            <w:r>
              <w:rPr>
                <w:rFonts w:hint="default" w:ascii="Times New Roman" w:hAnsi="Times New Roman" w:cs="Times New Roman"/>
                <w:color w:val="auto"/>
                <w:lang w:val="en-US" w:eastAsia="zh-CN"/>
              </w:rPr>
              <w:t>产生。</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②</w:t>
            </w:r>
            <w:r>
              <w:rPr>
                <w:rFonts w:hint="default" w:ascii="Times New Roman" w:hAnsi="Times New Roman" w:cs="Times New Roman"/>
                <w:color w:val="auto"/>
              </w:rPr>
              <w:t>建筑垃圾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建筑垃圾来源于项目建设过程中混凝土废料、石、砂的杂土</w:t>
            </w:r>
            <w:r>
              <w:rPr>
                <w:rFonts w:hint="default" w:ascii="Times New Roman" w:hAnsi="Times New Roman" w:cs="Times New Roman"/>
                <w:bCs/>
                <w:color w:val="auto"/>
                <w:lang w:val="en-US" w:eastAsia="zh-CN"/>
              </w:rPr>
              <w:t>、废钢筋等，</w:t>
            </w:r>
            <w:r>
              <w:rPr>
                <w:rFonts w:hint="default" w:ascii="Times New Roman" w:hAnsi="Times New Roman" w:cs="Times New Roman"/>
                <w:bCs/>
                <w:color w:val="auto"/>
              </w:rPr>
              <w:t>根据工程内容及统计资料，工程建设中产生的施工废料约为</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0t。施工生产的废料首先应考虑废料的回收利用，对钢筋、钢板、管材等下角料可分类回收，交废物收购站处理；对不能回收的建筑垃圾，如混凝土废料、石、砂的杂土等统一收集清运至城管部门指定的地方进行消纳。</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③</w:t>
            </w:r>
            <w:r>
              <w:rPr>
                <w:rFonts w:hint="default" w:ascii="Times New Roman" w:hAnsi="Times New Roman" w:cs="Times New Roman"/>
                <w:color w:val="auto"/>
              </w:rPr>
              <w:t>生活垃圾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t>施工高峰期施工人员约可达</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0人，生活垃圾按0.5kg/人·d计，产生量约为</w:t>
            </w:r>
            <w:r>
              <w:rPr>
                <w:rFonts w:hint="default" w:ascii="Times New Roman" w:hAnsi="Times New Roman" w:cs="Times New Roman"/>
                <w:bCs/>
                <w:color w:val="auto"/>
                <w:lang w:val="en-US" w:eastAsia="zh-CN"/>
              </w:rPr>
              <w:t>15</w:t>
            </w:r>
            <w:r>
              <w:rPr>
                <w:rFonts w:hint="default" w:ascii="Times New Roman" w:hAnsi="Times New Roman" w:cs="Times New Roman"/>
                <w:bCs/>
                <w:color w:val="auto"/>
              </w:rPr>
              <w:t>kg/d，本工程设置1处施工营地，</w:t>
            </w:r>
            <w:bookmarkStart w:id="10" w:name="_Hlk67867780"/>
            <w:r>
              <w:rPr>
                <w:rFonts w:hint="default" w:ascii="Times New Roman" w:hAnsi="Times New Roman" w:cs="Times New Roman"/>
                <w:bCs/>
                <w:color w:val="auto"/>
              </w:rPr>
              <w:t>在施工营地内设置垃圾桶，生活垃圾经垃圾桶集中收集后，由环卫部门统一清运至就近生活垃圾填埋场</w:t>
            </w:r>
            <w:bookmarkEnd w:id="10"/>
            <w:r>
              <w:rPr>
                <w:rFonts w:hint="default" w:ascii="Times New Roman" w:hAnsi="Times New Roman" w:cs="Times New Roman"/>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96" w:type="pct"/>
            <w:tcMar>
              <w:left w:w="28" w:type="dxa"/>
              <w:right w:w="28" w:type="dxa"/>
            </w:tcMar>
            <w:vAlign w:val="center"/>
          </w:tcPr>
          <w:p>
            <w:pPr>
              <w:pStyle w:val="19"/>
              <w:adjustRightInd w:val="0"/>
              <w:snapToGrid w:val="0"/>
              <w:spacing w:before="0" w:beforeAutospacing="0" w:after="0" w:afterAutospacing="0" w:line="360" w:lineRule="auto"/>
              <w:jc w:val="center"/>
              <w:rPr>
                <w:rFonts w:hint="default" w:ascii="Times New Roman" w:hAnsi="Times New Roman" w:cs="Times New Roman"/>
                <w:b/>
                <w:color w:val="auto"/>
                <w:spacing w:val="10"/>
                <w:kern w:val="2"/>
                <w:szCs w:val="24"/>
              </w:rPr>
            </w:pPr>
            <w:r>
              <w:rPr>
                <w:rFonts w:hint="default" w:ascii="Times New Roman" w:hAnsi="Times New Roman" w:cs="Times New Roman"/>
                <w:b/>
                <w:color w:val="auto"/>
                <w:spacing w:val="10"/>
                <w:kern w:val="2"/>
                <w:szCs w:val="24"/>
              </w:rPr>
              <w:t>运营期生态环境影响分析</w:t>
            </w:r>
          </w:p>
        </w:tc>
        <w:tc>
          <w:tcPr>
            <w:tcW w:w="4603" w:type="pct"/>
          </w:tcPr>
          <w:p>
            <w:pPr>
              <w:numPr>
                <w:ilvl w:val="0"/>
                <w:numId w:val="0"/>
              </w:numPr>
              <w:spacing w:line="360" w:lineRule="auto"/>
              <w:rPr>
                <w:rFonts w:hint="default" w:ascii="Times New Roman" w:hAnsi="Times New Roman" w:cs="Times New Roman"/>
                <w:b/>
                <w:color w:val="auto"/>
              </w:rPr>
            </w:pPr>
            <w:r>
              <w:rPr>
                <w:rFonts w:hint="default" w:ascii="Times New Roman" w:hAnsi="Times New Roman" w:cs="Times New Roman"/>
                <w:b/>
                <w:color w:val="auto"/>
                <w:lang w:val="en-US" w:eastAsia="zh-CN"/>
              </w:rPr>
              <w:t>1、</w:t>
            </w:r>
            <w:r>
              <w:rPr>
                <w:rFonts w:hint="default" w:ascii="Times New Roman" w:hAnsi="Times New Roman" w:cs="Times New Roman"/>
                <w:b/>
                <w:color w:val="auto"/>
              </w:rPr>
              <w:t>生态环境影响分析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区甘都镇位于黄河流域，区内黄河支流较多，山体冲沟发育，水土流失严重，且常有山洪暴发，县内村庄依山而建，自然形成冲沟较多，洪水和泥石流对村镇的威胁最大，严重影响着当地经济的发展和社会的稳定以及居民的生命财产安全。工程的实施不但可提高防洪能力，同时可以减少水土流失，其经济效益、社会效益、生态效益显著。</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对环境的不利影响主要表现在施工期对周边水、气、声、生态等环境及环境敏感区有局部和短暂的不利影响。在落实相关环保措施的前提下，工程施工对周边环境及环境敏感区的影响可以得到减缓，其影响在可接受范围内。工程建成后，</w:t>
            </w:r>
            <w:r>
              <w:rPr>
                <w:rFonts w:hint="default" w:ascii="Times New Roman" w:hAnsi="Times New Roman" w:cs="Times New Roman"/>
                <w:color w:val="auto"/>
                <w:lang w:val="en-US" w:eastAsia="zh-CN"/>
              </w:rPr>
              <w:t>工程</w:t>
            </w:r>
            <w:r>
              <w:rPr>
                <w:rFonts w:hint="default" w:ascii="Times New Roman" w:hAnsi="Times New Roman" w:cs="Times New Roman"/>
                <w:color w:val="auto"/>
              </w:rPr>
              <w:t>自身不产生污染物，可发挥防洪重大作用，保护人民生命财产安全以及社会经济的稳定发展，从减少水土流失角度也对部分敏感区起到保护作用。工程通过多次调整布局和规模，尽量减少对环境敏感区和生态环境的扰动，以实现防洪效益和环境保护效益的协调一致。</w:t>
            </w:r>
          </w:p>
          <w:p>
            <w:pPr>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生态效益分析：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（1）改善</w:t>
            </w:r>
            <w:r>
              <w:rPr>
                <w:rFonts w:hint="default" w:ascii="Times New Roman" w:hAnsi="Times New Roman" w:cs="Times New Roman"/>
                <w:color w:val="auto"/>
                <w:lang w:val="en-US" w:eastAsia="zh-CN"/>
              </w:rPr>
              <w:t>黄河</w:t>
            </w:r>
            <w:r>
              <w:rPr>
                <w:rFonts w:hint="default" w:ascii="Times New Roman" w:hAnsi="Times New Roman" w:cs="Times New Roman"/>
                <w:color w:val="auto"/>
              </w:rPr>
              <w:t>水质</w:t>
            </w:r>
          </w:p>
          <w:p>
            <w:pPr>
              <w:spacing w:line="360" w:lineRule="auto"/>
              <w:ind w:firstLine="480" w:firstLineChars="200"/>
              <w:rPr>
                <w:rFonts w:hint="default" w:ascii="Times New Roman" w:hAnsi="Times New Roman" w:cs="Times New Roman"/>
                <w:color w:val="auto"/>
                <w:lang w:val="en-GB"/>
              </w:rPr>
            </w:pPr>
            <w:r>
              <w:rPr>
                <w:rFonts w:hint="default" w:ascii="Times New Roman" w:hAnsi="Times New Roman" w:cs="Times New Roman"/>
                <w:color w:val="auto"/>
                <w:lang w:val="en-GB"/>
              </w:rPr>
              <w:t>本项目通过</w:t>
            </w:r>
            <w:r>
              <w:rPr>
                <w:rFonts w:hint="default" w:ascii="Times New Roman" w:hAnsi="Times New Roman" w:cs="Times New Roman"/>
                <w:color w:val="auto"/>
              </w:rPr>
              <w:t>防洪堤</w:t>
            </w:r>
            <w:r>
              <w:rPr>
                <w:rFonts w:hint="default" w:ascii="Times New Roman" w:hAnsi="Times New Roman" w:cs="Times New Roman"/>
                <w:color w:val="auto"/>
                <w:lang w:val="en-GB"/>
              </w:rPr>
              <w:t>的建设，缩短了汛期洪水过境时间，极大地抑制了河岸冲刷、</w:t>
            </w:r>
            <w:r>
              <w:rPr>
                <w:rFonts w:hint="default" w:ascii="Times New Roman" w:hAnsi="Times New Roman" w:cs="Times New Roman"/>
                <w:color w:val="auto"/>
                <w:lang w:val="en-US" w:eastAsia="zh-CN"/>
              </w:rPr>
              <w:t>沟</w:t>
            </w:r>
            <w:r>
              <w:rPr>
                <w:rFonts w:hint="default" w:ascii="Times New Roman" w:hAnsi="Times New Roman" w:cs="Times New Roman"/>
                <w:color w:val="auto"/>
                <w:lang w:val="en-GB"/>
              </w:rPr>
              <w:t>道淤积等不良现象，</w:t>
            </w:r>
            <w:r>
              <w:rPr>
                <w:rFonts w:hint="default" w:ascii="Times New Roman" w:hAnsi="Times New Roman" w:cs="Times New Roman"/>
                <w:color w:val="auto"/>
              </w:rPr>
              <w:t>使得水质好转，</w:t>
            </w:r>
            <w:r>
              <w:rPr>
                <w:rFonts w:hint="default" w:ascii="Times New Roman" w:hAnsi="Times New Roman" w:cs="Times New Roman"/>
                <w:color w:val="auto"/>
                <w:lang w:val="en-GB"/>
              </w:rPr>
              <w:t>同时随着河道面貌的改观还可以美化</w:t>
            </w:r>
            <w:r>
              <w:rPr>
                <w:rFonts w:hint="default" w:ascii="Times New Roman" w:hAnsi="Times New Roman" w:cs="Times New Roman"/>
                <w:color w:val="auto"/>
                <w:lang w:val="en-US" w:eastAsia="zh-CN"/>
              </w:rPr>
              <w:t>沟道</w:t>
            </w:r>
            <w:r>
              <w:rPr>
                <w:rFonts w:hint="default" w:ascii="Times New Roman" w:hAnsi="Times New Roman" w:cs="Times New Roman"/>
                <w:color w:val="auto"/>
                <w:lang w:val="en-GB"/>
              </w:rPr>
              <w:t>两岸景观环境，有利于改善沿河两岸形成的混杂的土地使用现状；本项目的建设对于化隆县积极推进生态文明改革，推动国民经济发展，生态环境质量升级，将区域的环境文化优势转化为区域发展优势增强区域生态综合实力意义重大，通过对项目区基础设施项目的建设，进一步提高项目区周边的生态环境。进而对项目区生态保护起到积极的示范作用，最终获得经济效益与生态效益的双赢。</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）美化环境，提升人居环境质量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本项目的实施美化了</w:t>
            </w:r>
            <w:r>
              <w:rPr>
                <w:rFonts w:hint="default" w:ascii="Times New Roman" w:hAnsi="Times New Roman" w:cs="Times New Roman"/>
                <w:color w:val="auto"/>
                <w:lang w:val="en-US" w:eastAsia="zh-CN"/>
              </w:rPr>
              <w:t>甘都镇桥头沟</w:t>
            </w:r>
            <w:r>
              <w:rPr>
                <w:rFonts w:hint="default" w:ascii="Times New Roman" w:hAnsi="Times New Roman" w:cs="Times New Roman"/>
                <w:color w:val="auto"/>
              </w:rPr>
              <w:t>景观环境、增加了当地物种多样性，同时对局部空气起到了一定净化作用，改善了</w:t>
            </w:r>
            <w:r>
              <w:rPr>
                <w:rFonts w:hint="default" w:ascii="Times New Roman" w:hAnsi="Times New Roman" w:cs="Times New Roman"/>
                <w:color w:val="auto"/>
                <w:lang w:val="en-US" w:eastAsia="zh-CN"/>
              </w:rPr>
              <w:t>沟道两侧</w:t>
            </w:r>
            <w:r>
              <w:rPr>
                <w:rFonts w:hint="default" w:ascii="Times New Roman" w:hAnsi="Times New Roman" w:cs="Times New Roman"/>
                <w:color w:val="auto"/>
              </w:rPr>
              <w:t>的生态环境，项目建成后将优化、美化两岸环境，形成统一的景观风貌。</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总体而言，本工程实施对环境的有利影响是显著的、长久性的，不利影响是局部的、临时的，并可通过环保措施有效减免。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6" w:hRule="atLeast"/>
          <w:jc w:val="center"/>
        </w:trPr>
        <w:tc>
          <w:tcPr>
            <w:tcW w:w="396" w:type="pct"/>
            <w:vAlign w:val="center"/>
          </w:tcPr>
          <w:p>
            <w:pPr>
              <w:pStyle w:val="19"/>
              <w:adjustRightInd w:val="0"/>
              <w:snapToGrid w:val="0"/>
              <w:spacing w:before="0" w:beforeAutospacing="0" w:after="0" w:afterAutospacing="0" w:line="360" w:lineRule="auto"/>
              <w:jc w:val="center"/>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选址选线环境合理性分析</w:t>
            </w:r>
          </w:p>
        </w:tc>
        <w:tc>
          <w:tcPr>
            <w:tcW w:w="4603" w:type="pct"/>
            <w:vAlign w:val="center"/>
          </w:tcPr>
          <w:p>
            <w:pPr>
              <w:pStyle w:val="67"/>
              <w:spacing w:line="360" w:lineRule="auto"/>
              <w:ind w:left="0" w:leftChars="0" w:firstLine="472" w:firstLineChars="200"/>
              <w:rPr>
                <w:rFonts w:hint="default" w:ascii="Times New Roman" w:hAnsi="Times New Roman" w:cs="Times New Roman"/>
                <w:bCs/>
                <w:color w:val="auto"/>
                <w:sz w:val="24"/>
                <w:lang w:val="en-US" w:eastAsia="zh-CN"/>
              </w:rPr>
            </w:pPr>
            <w:r>
              <w:rPr>
                <w:rFonts w:hint="default" w:ascii="Times New Roman" w:hAnsi="Times New Roman" w:cs="Times New Roman"/>
                <w:color w:val="auto"/>
                <w:spacing w:val="-2"/>
              </w:rPr>
              <w:t>桥头村山洪沟治理</w:t>
            </w:r>
            <w:r>
              <w:rPr>
                <w:rFonts w:hint="default" w:ascii="Times New Roman" w:hAnsi="Times New Roman" w:cs="Times New Roman"/>
                <w:bCs/>
                <w:color w:val="auto"/>
                <w:sz w:val="24"/>
                <w:lang w:val="en-US" w:eastAsia="zh-CN"/>
              </w:rPr>
              <w:t>均</w:t>
            </w:r>
            <w:r>
              <w:rPr>
                <w:rFonts w:hint="default" w:ascii="Times New Roman" w:hAnsi="Times New Roman" w:cs="Times New Roman"/>
                <w:bCs/>
                <w:color w:val="auto"/>
                <w:sz w:val="24"/>
              </w:rPr>
              <w:t>在原沟</w:t>
            </w:r>
            <w:r>
              <w:rPr>
                <w:rFonts w:hint="default" w:ascii="Times New Roman" w:hAnsi="Times New Roman" w:cs="Times New Roman"/>
                <w:bCs/>
                <w:color w:val="auto"/>
                <w:sz w:val="24"/>
                <w:lang w:val="en-US" w:eastAsia="zh-CN"/>
              </w:rPr>
              <w:t>内</w:t>
            </w:r>
            <w:r>
              <w:rPr>
                <w:rFonts w:hint="default" w:ascii="Times New Roman" w:hAnsi="Times New Roman" w:cs="Times New Roman"/>
                <w:bCs/>
                <w:color w:val="auto"/>
                <w:sz w:val="24"/>
              </w:rPr>
              <w:t>布置，占地</w:t>
            </w:r>
            <w:r>
              <w:rPr>
                <w:rFonts w:hint="default" w:ascii="Times New Roman" w:hAnsi="Times New Roman" w:cs="Times New Roman"/>
                <w:bCs/>
                <w:color w:val="auto"/>
                <w:sz w:val="24"/>
                <w:lang w:val="en-US" w:eastAsia="zh-CN"/>
              </w:rPr>
              <w:t>均为内陆滩涂。</w:t>
            </w:r>
          </w:p>
          <w:p>
            <w:pPr>
              <w:pStyle w:val="67"/>
              <w:spacing w:line="360" w:lineRule="auto"/>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rPr>
              <w:t>临时占地选址合理性分析</w:t>
            </w:r>
            <w:r>
              <w:rPr>
                <w:rFonts w:hint="default" w:ascii="Times New Roman" w:hAnsi="Times New Roman" w:cs="Times New Roman"/>
                <w:b/>
                <w:bCs/>
                <w:color w:val="auto"/>
                <w:lang w:eastAsia="zh-CN"/>
              </w:rPr>
              <w:t>：</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本工程临时施工工区</w:t>
            </w:r>
            <w:r>
              <w:rPr>
                <w:rFonts w:hint="default" w:ascii="Times New Roman" w:hAnsi="Times New Roman" w:cs="Times New Roman"/>
                <w:color w:val="auto"/>
                <w:lang w:val="en-US" w:eastAsia="zh-CN"/>
              </w:rPr>
              <w:t>2</w:t>
            </w:r>
            <w:r>
              <w:rPr>
                <w:rFonts w:hint="default" w:ascii="Times New Roman" w:hAnsi="Times New Roman" w:cs="Times New Roman"/>
                <w:color w:val="auto"/>
              </w:rPr>
              <w:t>处，</w:t>
            </w:r>
            <w:r>
              <w:rPr>
                <w:rFonts w:hint="default" w:ascii="Times New Roman" w:hAnsi="Times New Roman" w:cs="Times New Roman"/>
                <w:color w:val="auto"/>
                <w:lang w:val="zh-CN"/>
              </w:rPr>
              <w:t>占地</w:t>
            </w:r>
            <w:r>
              <w:rPr>
                <w:rFonts w:hint="default" w:ascii="Times New Roman" w:hAnsi="Times New Roman" w:cs="Times New Roman"/>
                <w:color w:val="auto"/>
                <w:lang w:val="en-US" w:eastAsia="zh-CN"/>
              </w:rPr>
              <w:t>0.06hm²</w:t>
            </w:r>
            <w:r>
              <w:rPr>
                <w:rFonts w:hint="default" w:ascii="Times New Roman" w:hAnsi="Times New Roman" w:cs="Times New Roman"/>
                <w:color w:val="auto"/>
                <w:lang w:val="zh-CN"/>
              </w:rPr>
              <w:t>，占地类型为</w:t>
            </w:r>
            <w:r>
              <w:rPr>
                <w:rFonts w:hint="default" w:ascii="Times New Roman" w:hAnsi="Times New Roman" w:cs="Times New Roman"/>
                <w:color w:val="auto"/>
                <w:lang w:val="en-US" w:eastAsia="zh-CN"/>
              </w:rPr>
              <w:t>荒草地和空地；</w:t>
            </w:r>
            <w:r>
              <w:rPr>
                <w:rFonts w:hint="default" w:ascii="Times New Roman" w:hAnsi="Times New Roman" w:cs="Times New Roman"/>
                <w:color w:val="auto"/>
              </w:rPr>
              <w:t>施工营地1处，占地面积0</w:t>
            </w:r>
            <w:r>
              <w:rPr>
                <w:rFonts w:hint="default" w:ascii="Times New Roman" w:hAnsi="Times New Roman" w:cs="Times New Roman"/>
                <w:color w:val="auto"/>
                <w:lang w:val="en-US" w:eastAsia="zh-CN"/>
              </w:rPr>
              <w:t>.02hm²，</w:t>
            </w:r>
            <w:r>
              <w:rPr>
                <w:rFonts w:hint="default" w:ascii="Times New Roman" w:hAnsi="Times New Roman" w:cs="Times New Roman"/>
                <w:color w:val="auto"/>
              </w:rPr>
              <w:t>占地类型为</w:t>
            </w:r>
            <w:r>
              <w:rPr>
                <w:rFonts w:hint="default" w:ascii="Times New Roman" w:hAnsi="Times New Roman" w:cs="Times New Roman"/>
                <w:color w:val="auto"/>
                <w:lang w:val="en-US" w:eastAsia="zh-CN"/>
              </w:rPr>
              <w:t>其他草地</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沟道两侧土方堆放占地</w:t>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t>hm²</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w:t>
            </w:r>
            <w:r>
              <w:rPr>
                <w:rFonts w:hint="default" w:ascii="Times New Roman" w:hAnsi="Times New Roman" w:cs="Times New Roman"/>
                <w:color w:val="auto"/>
              </w:rPr>
              <w:t>内陆滩涂</w:t>
            </w:r>
            <w:r>
              <w:rPr>
                <w:rFonts w:hint="default" w:ascii="Times New Roman" w:hAnsi="Times New Roman" w:cs="Times New Roman"/>
                <w:color w:val="auto"/>
                <w:lang w:val="en-US" w:eastAsia="zh-CN"/>
              </w:rPr>
              <w:t>1.16</w:t>
            </w:r>
            <w:r>
              <w:rPr>
                <w:rFonts w:hint="default" w:ascii="Times New Roman" w:hAnsi="Times New Roman" w:cs="Times New Roman"/>
                <w:color w:val="auto"/>
              </w:rPr>
              <w:t>hm²</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其他草地0.04</w:t>
            </w:r>
            <w:r>
              <w:rPr>
                <w:rFonts w:hint="default" w:ascii="Times New Roman" w:hAnsi="Times New Roman" w:cs="Times New Roman"/>
                <w:color w:val="auto"/>
              </w:rPr>
              <w:t>hm²</w:t>
            </w:r>
            <w:r>
              <w:rPr>
                <w:rFonts w:hint="default" w:ascii="Times New Roman" w:hAnsi="Times New Roman" w:cs="Times New Roman"/>
                <w:color w:val="auto"/>
                <w:lang w:eastAsia="zh-CN"/>
              </w:rPr>
              <w:t>。</w:t>
            </w:r>
          </w:p>
          <w:p>
            <w:pPr>
              <w:widowControl/>
              <w:spacing w:beforeLines="50"/>
              <w:jc w:val="center"/>
              <w:rPr>
                <w:rFonts w:hint="default" w:ascii="Times New Roman" w:hAnsi="Times New Roman" w:cs="Times New Roman"/>
                <w:b/>
                <w:color w:val="auto"/>
              </w:rPr>
            </w:pPr>
            <w:r>
              <w:rPr>
                <w:rFonts w:hint="default" w:ascii="Times New Roman" w:hAnsi="Times New Roman" w:cs="Times New Roman"/>
                <w:b/>
                <w:color w:val="auto"/>
              </w:rPr>
              <w:t>表4-4  临时占地布设及其环境影响分析表</w:t>
            </w:r>
          </w:p>
          <w:tbl>
            <w:tblPr>
              <w:tblStyle w:val="23"/>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735"/>
              <w:gridCol w:w="732"/>
              <w:gridCol w:w="4085"/>
              <w:gridCol w:w="1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exact"/>
                <w:jc w:val="center"/>
              </w:trPr>
              <w:tc>
                <w:tcPr>
                  <w:tcW w:w="590" w:type="pct"/>
                  <w:shd w:val="clear" w:color="auto" w:fill="auto"/>
                  <w:vAlign w:val="center"/>
                </w:tcPr>
                <w:p>
                  <w:pPr>
                    <w:autoSpaceDE w:val="0"/>
                    <w:autoSpaceDN w:val="0"/>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工程类型</w:t>
                  </w:r>
                </w:p>
              </w:tc>
              <w:tc>
                <w:tcPr>
                  <w:tcW w:w="487" w:type="pct"/>
                  <w:shd w:val="clear" w:color="auto" w:fill="auto"/>
                  <w:vAlign w:val="center"/>
                </w:tcPr>
                <w:p>
                  <w:pPr>
                    <w:autoSpaceDE w:val="0"/>
                    <w:autoSpaceDN w:val="0"/>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占地（hm²）</w:t>
                  </w:r>
                </w:p>
              </w:tc>
              <w:tc>
                <w:tcPr>
                  <w:tcW w:w="485" w:type="pct"/>
                  <w:shd w:val="clear" w:color="auto" w:fill="auto"/>
                  <w:vAlign w:val="center"/>
                </w:tcPr>
                <w:p>
                  <w:pPr>
                    <w:autoSpaceDE w:val="0"/>
                    <w:autoSpaceDN w:val="0"/>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占地类型</w:t>
                  </w:r>
                </w:p>
              </w:tc>
              <w:tc>
                <w:tcPr>
                  <w:tcW w:w="2707" w:type="pct"/>
                  <w:shd w:val="clear" w:color="auto" w:fill="auto"/>
                  <w:vAlign w:val="center"/>
                </w:tcPr>
                <w:p>
                  <w:pPr>
                    <w:autoSpaceDE w:val="0"/>
                    <w:autoSpaceDN w:val="0"/>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生态现状、影响及环境可行性</w:t>
                  </w:r>
                </w:p>
              </w:tc>
              <w:tc>
                <w:tcPr>
                  <w:tcW w:w="727" w:type="pct"/>
                  <w:shd w:val="clear" w:color="auto" w:fill="auto"/>
                  <w:vAlign w:val="center"/>
                </w:tcPr>
                <w:p>
                  <w:pPr>
                    <w:autoSpaceDE w:val="0"/>
                    <w:autoSpaceDN w:val="0"/>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优化调整建议及可行性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7" w:hRule="exact"/>
                <w:jc w:val="center"/>
              </w:trPr>
              <w:tc>
                <w:tcPr>
                  <w:tcW w:w="590"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临时施工工区</w:t>
                  </w:r>
                </w:p>
              </w:tc>
              <w:tc>
                <w:tcPr>
                  <w:tcW w:w="487"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06</w:t>
                  </w:r>
                </w:p>
              </w:tc>
              <w:tc>
                <w:tcPr>
                  <w:tcW w:w="485" w:type="pct"/>
                  <w:shd w:val="clear" w:color="auto" w:fill="auto"/>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草地</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空地</w:t>
                  </w:r>
                </w:p>
              </w:tc>
              <w:tc>
                <w:tcPr>
                  <w:tcW w:w="2707" w:type="pct"/>
                  <w:shd w:val="clear" w:color="auto" w:fill="auto"/>
                  <w:vAlign w:val="center"/>
                </w:tcPr>
                <w:p>
                  <w:pPr>
                    <w:autoSpaceDE w:val="0"/>
                    <w:autoSpaceDN w:val="0"/>
                    <w:adjustRightInd w:val="0"/>
                    <w:ind w:left="2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1#施工工区占地类型为空地，无植被；2#施工工区占地类型为其他草地，根据现状调查，</w:t>
                  </w:r>
                </w:p>
                <w:p>
                  <w:pPr>
                    <w:autoSpaceDE w:val="0"/>
                    <w:autoSpaceDN w:val="0"/>
                    <w:adjustRightInd w:val="0"/>
                    <w:ind w:left="2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植被覆盖度约5-10%，主要植被有紫花针茅、蒿类、灰条草、苣荬菜等，</w:t>
                  </w:r>
                  <w:r>
                    <w:rPr>
                      <w:rFonts w:hint="default" w:ascii="Times New Roman" w:hAnsi="Times New Roman" w:cs="Times New Roman"/>
                      <w:color w:val="auto"/>
                      <w:sz w:val="21"/>
                      <w:szCs w:val="21"/>
                    </w:rPr>
                    <w:t>临时占地将会改变其生态现状植被，</w:t>
                  </w:r>
                  <w:r>
                    <w:rPr>
                      <w:rFonts w:hint="default" w:ascii="Times New Roman" w:hAnsi="Times New Roman" w:cs="Times New Roman"/>
                      <w:color w:val="auto"/>
                      <w:sz w:val="21"/>
                      <w:szCs w:val="21"/>
                      <w:lang w:val="en-US" w:eastAsia="zh-CN"/>
                    </w:rPr>
                    <w:t>施工材料堆放等会占压植被，</w:t>
                  </w:r>
                  <w:r>
                    <w:rPr>
                      <w:rFonts w:hint="default" w:ascii="Times New Roman" w:hAnsi="Times New Roman" w:cs="Times New Roman"/>
                      <w:color w:val="auto"/>
                      <w:sz w:val="21"/>
                      <w:szCs w:val="21"/>
                    </w:rPr>
                    <w:t>施工结束后进行植被恢复，播撒草籽</w:t>
                  </w:r>
                </w:p>
              </w:tc>
              <w:tc>
                <w:tcPr>
                  <w:tcW w:w="727" w:type="pct"/>
                  <w:shd w:val="clear" w:color="auto" w:fill="auto"/>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exact"/>
                <w:jc w:val="center"/>
              </w:trPr>
              <w:tc>
                <w:tcPr>
                  <w:tcW w:w="590"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施工营地</w:t>
                  </w:r>
                </w:p>
              </w:tc>
              <w:tc>
                <w:tcPr>
                  <w:tcW w:w="487"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w:t>
                  </w:r>
                </w:p>
              </w:tc>
              <w:tc>
                <w:tcPr>
                  <w:tcW w:w="485" w:type="pct"/>
                  <w:shd w:val="clear" w:color="auto" w:fill="auto"/>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草地</w:t>
                  </w:r>
                </w:p>
              </w:tc>
              <w:tc>
                <w:tcPr>
                  <w:tcW w:w="2707" w:type="pct"/>
                  <w:shd w:val="clear" w:color="auto" w:fill="auto"/>
                  <w:vAlign w:val="center"/>
                </w:tcPr>
                <w:p>
                  <w:pPr>
                    <w:autoSpaceDE w:val="0"/>
                    <w:autoSpaceDN w:val="0"/>
                    <w:adjustRightInd w:val="0"/>
                    <w:ind w:left="28"/>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占用草地，</w:t>
                  </w:r>
                  <w:r>
                    <w:rPr>
                      <w:rFonts w:hint="default" w:ascii="Times New Roman" w:hAnsi="Times New Roman" w:cs="Times New Roman"/>
                      <w:color w:val="auto"/>
                      <w:sz w:val="21"/>
                      <w:szCs w:val="21"/>
                      <w:lang w:val="en-US" w:eastAsia="zh-CN"/>
                    </w:rPr>
                    <w:t>根据现状调查，植被覆盖度约5-10%，主要植被有紫花针茅、蒿类、灰条草、苣荬菜等，</w:t>
                  </w:r>
                  <w:r>
                    <w:rPr>
                      <w:rFonts w:hint="default" w:ascii="Times New Roman" w:hAnsi="Times New Roman" w:cs="Times New Roman"/>
                      <w:color w:val="auto"/>
                      <w:sz w:val="21"/>
                      <w:szCs w:val="21"/>
                    </w:rPr>
                    <w:t>临时占地将会改变其生态现状植被，</w:t>
                  </w:r>
                  <w:r>
                    <w:rPr>
                      <w:rFonts w:hint="default" w:ascii="Times New Roman" w:hAnsi="Times New Roman" w:cs="Times New Roman"/>
                      <w:color w:val="auto"/>
                      <w:sz w:val="21"/>
                      <w:szCs w:val="21"/>
                      <w:lang w:val="en-US" w:eastAsia="zh-CN"/>
                    </w:rPr>
                    <w:t>施工营地搭建帐篷、修建旱厕等对会占压植被，影响其生长，</w:t>
                  </w:r>
                  <w:r>
                    <w:rPr>
                      <w:rFonts w:hint="default" w:ascii="Times New Roman" w:hAnsi="Times New Roman" w:cs="Times New Roman"/>
                      <w:color w:val="auto"/>
                      <w:sz w:val="21"/>
                      <w:szCs w:val="21"/>
                    </w:rPr>
                    <w:t>施工结束后进行植被恢复，播撒草籽</w:t>
                  </w:r>
                </w:p>
              </w:tc>
              <w:tc>
                <w:tcPr>
                  <w:tcW w:w="727" w:type="pct"/>
                  <w:shd w:val="clear" w:color="auto" w:fill="auto"/>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8" w:hRule="exact"/>
                <w:jc w:val="center"/>
              </w:trPr>
              <w:tc>
                <w:tcPr>
                  <w:tcW w:w="590"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沟道两侧</w:t>
                  </w:r>
                </w:p>
              </w:tc>
              <w:tc>
                <w:tcPr>
                  <w:tcW w:w="487" w:type="pct"/>
                  <w:shd w:val="clear" w:color="auto" w:fill="auto"/>
                  <w:vAlign w:val="center"/>
                </w:tcPr>
                <w:p>
                  <w:pPr>
                    <w:keepNext/>
                    <w:keepLines/>
                    <w:widowControl/>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485" w:type="pct"/>
                  <w:shd w:val="clear" w:color="auto" w:fill="auto"/>
                  <w:vAlign w:val="center"/>
                </w:tcPr>
                <w:p>
                  <w:pPr>
                    <w:autoSpaceDE w:val="0"/>
                    <w:autoSpaceDN w:val="0"/>
                    <w:adjustRightIn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内陆滩涂、草地</w:t>
                  </w:r>
                </w:p>
              </w:tc>
              <w:tc>
                <w:tcPr>
                  <w:tcW w:w="2707" w:type="pct"/>
                  <w:shd w:val="clear" w:color="auto" w:fill="auto"/>
                  <w:vAlign w:val="center"/>
                </w:tcPr>
                <w:p>
                  <w:pPr>
                    <w:autoSpaceDE w:val="0"/>
                    <w:autoSpaceDN w:val="0"/>
                    <w:adjustRightInd w:val="0"/>
                    <w:ind w:left="2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据现场调查，沟道两侧K0+000-K2+100处，占地类型内陆滩涂，沟道两侧土壤为砂砾土质，无植被分布；K2+138-K2+400处，沟道两侧有植被分布，植被覆盖度约5-15%，主要有蒿类、灰条草、蔊菜、蒲公英、苣荬菜等；施工开挖的土方在临时堆放时对植被占压，影响其生长；此段与入黄口相接，施工安排在冬季，待植被枯黄时进行施工，减少对植被的破坏，施工结束后，播撒草种，来年恢复其植被，对植被的影响较小。</w:t>
                  </w:r>
                </w:p>
              </w:tc>
              <w:tc>
                <w:tcPr>
                  <w:tcW w:w="727" w:type="pct"/>
                  <w:shd w:val="clear" w:color="auto" w:fill="auto"/>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可行</w:t>
                  </w:r>
                </w:p>
              </w:tc>
            </w:tr>
          </w:tbl>
          <w:p>
            <w:pPr>
              <w:adjustRightInd w:val="0"/>
              <w:snapToGri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工程设置临时施工工区、施工营地，主要布设在施工沿线，占用</w:t>
            </w:r>
            <w:r>
              <w:rPr>
                <w:rFonts w:hint="default" w:ascii="Times New Roman" w:hAnsi="Times New Roman" w:cs="Times New Roman"/>
                <w:color w:val="auto"/>
                <w:lang w:val="en-US" w:eastAsia="zh-CN"/>
              </w:rPr>
              <w:t>其他</w:t>
            </w:r>
            <w:r>
              <w:rPr>
                <w:rFonts w:hint="default" w:ascii="Times New Roman" w:hAnsi="Times New Roman" w:cs="Times New Roman"/>
                <w:color w:val="auto"/>
              </w:rPr>
              <w:t>草地</w:t>
            </w:r>
            <w:r>
              <w:rPr>
                <w:rFonts w:hint="default" w:ascii="Times New Roman" w:hAnsi="Times New Roman" w:cs="Times New Roman"/>
                <w:color w:val="auto"/>
                <w:lang w:val="en-US" w:eastAsia="zh-CN"/>
              </w:rPr>
              <w:t>和空地</w:t>
            </w:r>
            <w:r>
              <w:rPr>
                <w:rFonts w:hint="default" w:ascii="Times New Roman" w:hAnsi="Times New Roman" w:cs="Times New Roman"/>
                <w:color w:val="auto"/>
              </w:rPr>
              <w:t>，损失的植被生物量较小，对区域环境影响不大，施工结束后进行场地平整和压实，占地影响在施工结束后消失。综合分析，临时占地对周边环境影响小，从环保角度讲，本项目临时占地选址合理。</w:t>
            </w:r>
          </w:p>
          <w:tbl>
            <w:tblPr>
              <w:tblStyle w:val="24"/>
              <w:tblW w:w="7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1" w:hRule="atLeast"/>
              </w:trPr>
              <w:tc>
                <w:tcPr>
                  <w:tcW w:w="3955" w:type="dxa"/>
                </w:tcPr>
                <w:p>
                  <w:pPr>
                    <w:pStyle w:val="3"/>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2423160" cy="1810385"/>
                        <wp:effectExtent l="0" t="0" r="15240" b="184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1"/>
                                <a:stretch>
                                  <a:fillRect/>
                                </a:stretch>
                              </pic:blipFill>
                              <pic:spPr>
                                <a:xfrm>
                                  <a:off x="0" y="0"/>
                                  <a:ext cx="2423160" cy="1810385"/>
                                </a:xfrm>
                                <a:prstGeom prst="rect">
                                  <a:avLst/>
                                </a:prstGeom>
                                <a:noFill/>
                                <a:ln>
                                  <a:noFill/>
                                </a:ln>
                              </pic:spPr>
                            </pic:pic>
                          </a:graphicData>
                        </a:graphic>
                      </wp:inline>
                    </w:drawing>
                  </w:r>
                </w:p>
              </w:tc>
              <w:tc>
                <w:tcPr>
                  <w:tcW w:w="3900" w:type="dxa"/>
                </w:tcPr>
                <w:p>
                  <w:pPr>
                    <w:pStyle w:val="3"/>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2301240" cy="1811020"/>
                        <wp:effectExtent l="0" t="0" r="3810" b="1778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2"/>
                                <a:stretch>
                                  <a:fillRect/>
                                </a:stretch>
                              </pic:blipFill>
                              <pic:spPr>
                                <a:xfrm>
                                  <a:off x="0" y="0"/>
                                  <a:ext cx="2301240" cy="1811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955" w:type="dxa"/>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1#施工工区，位于排洪渠起点左岸30m处，占地类型为空地</w:t>
                  </w:r>
                </w:p>
              </w:tc>
              <w:tc>
                <w:tcPr>
                  <w:tcW w:w="3900" w:type="dxa"/>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施工营地，位于</w:t>
                  </w:r>
                  <w:r>
                    <w:rPr>
                      <w:rFonts w:hint="default" w:ascii="Times New Roman" w:hAnsi="Times New Roman" w:cs="Times New Roman"/>
                      <w:b/>
                      <w:bCs/>
                      <w:color w:val="auto"/>
                      <w:sz w:val="21"/>
                      <w:szCs w:val="21"/>
                    </w:rPr>
                    <w:t>K1+</w:t>
                  </w:r>
                  <w:r>
                    <w:rPr>
                      <w:rFonts w:hint="default" w:ascii="Times New Roman" w:hAnsi="Times New Roman" w:cs="Times New Roman"/>
                      <w:b/>
                      <w:bCs/>
                      <w:color w:val="auto"/>
                      <w:sz w:val="21"/>
                      <w:szCs w:val="21"/>
                      <w:lang w:val="en-US" w:eastAsia="zh-CN"/>
                    </w:rPr>
                    <w:t>140</w:t>
                  </w:r>
                  <w:r>
                    <w:rPr>
                      <w:rFonts w:hint="default" w:ascii="Times New Roman" w:hAnsi="Times New Roman" w:cs="Times New Roman"/>
                      <w:b/>
                      <w:bCs/>
                      <w:color w:val="auto"/>
                      <w:sz w:val="21"/>
                      <w:szCs w:val="21"/>
                    </w:rPr>
                    <w:t>-k1+1</w:t>
                  </w:r>
                  <w:r>
                    <w:rPr>
                      <w:rFonts w:hint="default"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0</w:t>
                  </w:r>
                  <w:r>
                    <w:rPr>
                      <w:rFonts w:hint="default" w:ascii="Times New Roman" w:hAnsi="Times New Roman" w:cs="Times New Roman"/>
                      <w:b/>
                      <w:bCs/>
                      <w:color w:val="auto"/>
                      <w:sz w:val="21"/>
                      <w:szCs w:val="21"/>
                      <w:lang w:val="en-US" w:eastAsia="zh-CN"/>
                    </w:rPr>
                    <w:t>右岸3m处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trPr>
              <w:tc>
                <w:tcPr>
                  <w:tcW w:w="3955"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drawing>
                      <wp:inline distT="0" distB="0" distL="114300" distR="114300">
                        <wp:extent cx="2415540" cy="1910080"/>
                        <wp:effectExtent l="0" t="0" r="3810" b="1397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3"/>
                                <a:stretch>
                                  <a:fillRect/>
                                </a:stretch>
                              </pic:blipFill>
                              <pic:spPr>
                                <a:xfrm>
                                  <a:off x="0" y="0"/>
                                  <a:ext cx="2415540" cy="1910080"/>
                                </a:xfrm>
                                <a:prstGeom prst="rect">
                                  <a:avLst/>
                                </a:prstGeom>
                                <a:noFill/>
                                <a:ln>
                                  <a:noFill/>
                                </a:ln>
                              </pic:spPr>
                            </pic:pic>
                          </a:graphicData>
                        </a:graphic>
                      </wp:inline>
                    </w:drawing>
                  </w:r>
                </w:p>
              </w:tc>
              <w:tc>
                <w:tcPr>
                  <w:tcW w:w="3900"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color w:val="auto"/>
                    </w:rPr>
                    <w:drawing>
                      <wp:inline distT="0" distB="0" distL="114300" distR="114300">
                        <wp:extent cx="2343150" cy="1995805"/>
                        <wp:effectExtent l="0" t="0" r="0" b="444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6"/>
                                <a:stretch>
                                  <a:fillRect/>
                                </a:stretch>
                              </pic:blipFill>
                              <pic:spPr>
                                <a:xfrm>
                                  <a:off x="0" y="0"/>
                                  <a:ext cx="2343150" cy="1995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955"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2#施工工区，位于K1+140-k1+170右岸3m处</w:t>
                  </w:r>
                </w:p>
              </w:tc>
              <w:tc>
                <w:tcPr>
                  <w:tcW w:w="3900" w:type="dxa"/>
                  <w:vAlign w:val="center"/>
                </w:tcPr>
                <w:p>
                  <w:pPr>
                    <w:pStyle w:val="3"/>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lang w:val="en-US" w:eastAsia="zh-CN"/>
                    </w:rPr>
                    <w:t>K2+138-K2+240处沟道现状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trPr>
              <w:tc>
                <w:tcPr>
                  <w:tcW w:w="3955" w:type="dxa"/>
                </w:tcPr>
                <w:p>
                  <w:pPr>
                    <w:pStyle w:val="3"/>
                    <w:rPr>
                      <w:rFonts w:hint="default" w:ascii="Times New Roman" w:hAnsi="Times New Roman" w:cs="Times New Roman"/>
                      <w:bCs/>
                      <w:color w:val="auto"/>
                      <w:vertAlign w:val="baseline"/>
                    </w:rPr>
                  </w:pPr>
                  <w:r>
                    <w:rPr>
                      <w:rFonts w:hint="default" w:ascii="Times New Roman" w:hAnsi="Times New Roman" w:cs="Times New Roman"/>
                      <w:color w:val="auto"/>
                    </w:rPr>
                    <w:drawing>
                      <wp:inline distT="0" distB="0" distL="114300" distR="114300">
                        <wp:extent cx="2394585" cy="1846580"/>
                        <wp:effectExtent l="0" t="0" r="5715" b="12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7"/>
                                <a:stretch>
                                  <a:fillRect/>
                                </a:stretch>
                              </pic:blipFill>
                              <pic:spPr>
                                <a:xfrm>
                                  <a:off x="0" y="0"/>
                                  <a:ext cx="2394585" cy="1846580"/>
                                </a:xfrm>
                                <a:prstGeom prst="rect">
                                  <a:avLst/>
                                </a:prstGeom>
                                <a:noFill/>
                                <a:ln>
                                  <a:noFill/>
                                </a:ln>
                              </pic:spPr>
                            </pic:pic>
                          </a:graphicData>
                        </a:graphic>
                      </wp:inline>
                    </w:drawing>
                  </w:r>
                </w:p>
              </w:tc>
              <w:tc>
                <w:tcPr>
                  <w:tcW w:w="3900" w:type="dxa"/>
                </w:tcPr>
                <w:p>
                  <w:pPr>
                    <w:pStyle w:val="3"/>
                    <w:rPr>
                      <w:rFonts w:hint="default" w:ascii="Times New Roman" w:hAnsi="Times New Roman" w:cs="Times New Roman"/>
                      <w:bCs/>
                      <w:color w:val="auto"/>
                      <w:vertAlign w:val="baseline"/>
                    </w:rPr>
                  </w:pPr>
                  <w:r>
                    <w:rPr>
                      <w:rFonts w:hint="default" w:ascii="Times New Roman" w:hAnsi="Times New Roman" w:cs="Times New Roman"/>
                      <w:color w:val="auto"/>
                    </w:rPr>
                    <w:drawing>
                      <wp:inline distT="0" distB="0" distL="114300" distR="114300">
                        <wp:extent cx="2352040" cy="1837690"/>
                        <wp:effectExtent l="0" t="0" r="10160" b="1016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8"/>
                                <a:stretch>
                                  <a:fillRect/>
                                </a:stretch>
                              </pic:blipFill>
                              <pic:spPr>
                                <a:xfrm>
                                  <a:off x="0" y="0"/>
                                  <a:ext cx="2352040" cy="1837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5" w:type="dxa"/>
                  <w:gridSpan w:val="2"/>
                </w:tcPr>
                <w:p>
                  <w:pPr>
                    <w:pStyle w:val="3"/>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K0+000-K2+100处沟道现状</w:t>
                  </w:r>
                </w:p>
              </w:tc>
            </w:tr>
          </w:tbl>
          <w:p>
            <w:pPr>
              <w:pStyle w:val="3"/>
              <w:rPr>
                <w:rFonts w:hint="default" w:ascii="Times New Roman" w:hAnsi="Times New Roman" w:cs="Times New Roman"/>
                <w:bCs/>
                <w:color w:val="auto"/>
              </w:rPr>
            </w:pPr>
          </w:p>
          <w:p>
            <w:pPr>
              <w:pStyle w:val="3"/>
              <w:rPr>
                <w:rFonts w:hint="default" w:ascii="Times New Roman" w:hAnsi="Times New Roman" w:cs="Times New Roman"/>
                <w:bCs/>
                <w:color w:val="auto"/>
              </w:rPr>
            </w:pPr>
          </w:p>
        </w:tc>
      </w:tr>
    </w:tbl>
    <w:p>
      <w:pPr>
        <w:pStyle w:val="19"/>
        <w:jc w:val="center"/>
        <w:rPr>
          <w:rFonts w:hint="default" w:ascii="Times New Roman" w:hAnsi="Times New Roman" w:eastAsia="黑体" w:cs="Times New Roman"/>
          <w:snapToGrid w:val="0"/>
          <w:color w:val="auto"/>
          <w:sz w:val="36"/>
          <w:szCs w:val="36"/>
        </w:rPr>
        <w:sectPr>
          <w:pgSz w:w="11906" w:h="16838"/>
          <w:pgMar w:top="1440" w:right="1800" w:bottom="1440" w:left="1800" w:header="851" w:footer="1077" w:gutter="0"/>
          <w:pgNumType w:fmt="numberInDash"/>
          <w:cols w:space="720" w:num="1"/>
          <w:docGrid w:linePitch="312" w:charSpace="0"/>
        </w:sectPr>
      </w:pPr>
    </w:p>
    <w:p>
      <w:pPr>
        <w:pStyle w:val="19"/>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pPr>
        <w:pStyle w:val="19"/>
        <w:jc w:val="center"/>
        <w:outlineLvl w:val="0"/>
        <w:rPr>
          <w:rFonts w:hint="default" w:ascii="Times New Roman" w:hAnsi="Times New Roman" w:eastAsia="黑体" w:cs="Times New Roman"/>
          <w:b/>
          <w:bCs/>
          <w:snapToGrid w:val="0"/>
          <w:color w:val="auto"/>
          <w:sz w:val="30"/>
          <w:szCs w:val="30"/>
        </w:rPr>
      </w:pPr>
      <w:bookmarkStart w:id="11" w:name="_Toc69334653"/>
      <w:r>
        <w:rPr>
          <w:rFonts w:hint="default" w:ascii="Times New Roman" w:hAnsi="Times New Roman" w:eastAsia="黑体" w:cs="Times New Roman"/>
          <w:b/>
          <w:bCs/>
          <w:snapToGrid w:val="0"/>
          <w:color w:val="auto"/>
          <w:sz w:val="30"/>
          <w:szCs w:val="30"/>
        </w:rPr>
        <w:t>五、主要生态环境保护措施</w:t>
      </w:r>
      <w:bookmarkEnd w:id="11"/>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1" w:type="dxa"/>
            <w:tcMar>
              <w:left w:w="28" w:type="dxa"/>
              <w:right w:w="28" w:type="dxa"/>
            </w:tcMar>
            <w:vAlign w:val="center"/>
          </w:tcPr>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施</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工</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期</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生</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态</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环</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境</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保</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护</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spacing w:val="10"/>
              </w:rPr>
              <w:t>措</w:t>
            </w:r>
          </w:p>
          <w:p>
            <w:pPr>
              <w:adjustRightInd w:val="0"/>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spacing w:val="10"/>
              </w:rPr>
              <w:t>施</w:t>
            </w:r>
          </w:p>
        </w:tc>
        <w:tc>
          <w:tcPr>
            <w:tcW w:w="7803" w:type="dxa"/>
          </w:tcPr>
          <w:p>
            <w:pPr>
              <w:adjustRightInd w:val="0"/>
              <w:snapToGrid w:val="0"/>
              <w:spacing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1、陆生生态影响防治措施</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化隆县甘都镇桥头村山洪沟治理</w:t>
            </w:r>
            <w:r>
              <w:rPr>
                <w:rFonts w:hint="default" w:ascii="Times New Roman" w:hAnsi="Times New Roman" w:cs="Times New Roman"/>
                <w:color w:val="auto"/>
                <w:lang w:val="en-US" w:eastAsia="zh-CN"/>
              </w:rPr>
              <w:t>工程</w:t>
            </w:r>
            <w:r>
              <w:rPr>
                <w:rFonts w:hint="default" w:ascii="Times New Roman" w:hAnsi="Times New Roman" w:cs="Times New Roman"/>
                <w:color w:val="auto"/>
              </w:rPr>
              <w:t>总体对生态环境影响较小，鉴于区域生态环境脆弱以及区域植被自然恢复过程缓慢，需加强施工期和运行期的管理，以最大程度减小对生态环境的影响。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（1）施工区生态影响防治措施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①工程施工道路利用现有村道和</w:t>
            </w:r>
            <w:r>
              <w:rPr>
                <w:rFonts w:hint="default" w:ascii="Times New Roman" w:hAnsi="Times New Roman" w:cs="Times New Roman"/>
                <w:color w:val="auto"/>
                <w:lang w:val="en-US" w:eastAsia="zh-CN"/>
              </w:rPr>
              <w:t>田间道路，</w:t>
            </w:r>
            <w:r>
              <w:rPr>
                <w:rFonts w:hint="default" w:ascii="Times New Roman" w:hAnsi="Times New Roman" w:cs="Times New Roman"/>
                <w:color w:val="auto"/>
              </w:rPr>
              <w:t>本工程不设专门的临时道路，减少临时占地面积，减少对项目区内植被的影响；</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②基础开挖时严格控制施工作业带，控制临时土方堆放的宽度，严格按照分段开挖、分段修筑、分段回填的方式进行，严禁一次性大面积开挖，施工完成后及时进行土方回填，严禁土方长时间占压草地；</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③为避免施工人员对植被和土壤的影响和破坏，在做好施工组织设计的同时，划定工程占地范围，扰动范围应控制在5.0m范围内。在施工区设置警示牌，标明施工活动区，严禁超范围</w:t>
            </w:r>
            <w:r>
              <w:rPr>
                <w:rFonts w:hint="default" w:ascii="Times New Roman" w:hAnsi="Times New Roman" w:cs="Times New Roman"/>
                <w:color w:val="auto"/>
                <w:lang w:val="en-US" w:eastAsia="zh-CN"/>
              </w:rPr>
              <w:t>开挖</w:t>
            </w:r>
            <w:r>
              <w:rPr>
                <w:rFonts w:hint="default" w:ascii="Times New Roman" w:hAnsi="Times New Roman" w:cs="Times New Roman"/>
                <w:color w:val="auto"/>
              </w:rPr>
              <w:t>和进入非施工区活动。</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④设置的</w:t>
            </w:r>
            <w:r>
              <w:rPr>
                <w:rFonts w:hint="default" w:ascii="Times New Roman" w:hAnsi="Times New Roman" w:cs="Times New Roman"/>
                <w:color w:val="auto"/>
                <w:lang w:val="en-US" w:eastAsia="zh-CN"/>
              </w:rPr>
              <w:t>2</w:t>
            </w:r>
            <w:r>
              <w:rPr>
                <w:rFonts w:hint="default" w:ascii="Times New Roman" w:hAnsi="Times New Roman" w:cs="Times New Roman"/>
                <w:color w:val="auto"/>
              </w:rPr>
              <w:t>处施工工区占地面积</w:t>
            </w:r>
            <w:r>
              <w:rPr>
                <w:rFonts w:hint="default" w:ascii="Times New Roman" w:hAnsi="Times New Roman" w:cs="Times New Roman"/>
                <w:color w:val="auto"/>
                <w:lang w:val="en-US" w:eastAsia="zh-CN"/>
              </w:rPr>
              <w:t>0.06hm²</w:t>
            </w:r>
            <w:r>
              <w:rPr>
                <w:rFonts w:hint="default" w:ascii="Times New Roman" w:hAnsi="Times New Roman" w:cs="Times New Roman"/>
                <w:color w:val="auto"/>
              </w:rPr>
              <w:t>，不得随意扩大，施工期堆放车辆、建筑材料等，不用的材料采用防尘网苫盖，施工结束后，清理施工工区内遗留的垃圾，恢复临时占地</w:t>
            </w:r>
            <w:r>
              <w:rPr>
                <w:rFonts w:hint="default" w:ascii="Times New Roman" w:hAnsi="Times New Roman" w:cs="Times New Roman"/>
                <w:color w:val="auto"/>
                <w:lang w:val="en-US" w:eastAsia="zh-CN"/>
              </w:rPr>
              <w:t>0.06hm²</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1#施工工区占地为空地，施工结束后将场地清理干净，场地压实整平，确保无建筑材料、施工废料等的堆放，恢复原貌；2#施工工区占地为其他草地，施工结束后，先对场地建筑材料、废料等清理干净，</w:t>
            </w:r>
            <w:r>
              <w:rPr>
                <w:rFonts w:hint="default" w:ascii="Times New Roman" w:hAnsi="Times New Roman" w:cs="Times New Roman"/>
                <w:color w:val="auto"/>
              </w:rPr>
              <w:t>后播撒</w:t>
            </w:r>
            <w:r>
              <w:rPr>
                <w:rFonts w:hint="default" w:ascii="Times New Roman" w:hAnsi="Times New Roman" w:cs="Times New Roman"/>
                <w:color w:val="auto"/>
                <w:lang w:val="en-US" w:eastAsia="zh-CN"/>
              </w:rPr>
              <w:t>蒿类、蒲公英、苣荬菜、</w:t>
            </w:r>
            <w:r>
              <w:rPr>
                <w:rFonts w:hint="default" w:ascii="Times New Roman" w:hAnsi="Times New Roman" w:cs="Times New Roman"/>
                <w:color w:val="auto"/>
              </w:rPr>
              <w:t>芨芨草、披碱草等</w:t>
            </w:r>
            <w:r>
              <w:rPr>
                <w:rFonts w:hint="default" w:ascii="Times New Roman" w:hAnsi="Times New Roman" w:cs="Times New Roman"/>
                <w:color w:val="auto"/>
                <w:lang w:val="en-US" w:eastAsia="zh-CN"/>
              </w:rPr>
              <w:t>当地</w:t>
            </w:r>
            <w:r>
              <w:rPr>
                <w:rFonts w:hint="default" w:ascii="Times New Roman" w:hAnsi="Times New Roman" w:cs="Times New Roman"/>
                <w:color w:val="auto"/>
              </w:rPr>
              <w:t>草种，恢复原有植被。</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（2）施工营地生态影响防治措施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①施工营地设置1个垃圾桶，集中收集生活垃圾，避免对施工营地周围环境造成污染。收集的垃圾由当地环卫部门定期清运。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②施工结束后清理营地内遗留的垃圾，恢复临时占地</w:t>
            </w:r>
            <w:r>
              <w:rPr>
                <w:rFonts w:hint="default" w:ascii="Times New Roman" w:hAnsi="Times New Roman" w:cs="Times New Roman"/>
                <w:color w:val="auto"/>
                <w:lang w:val="en-US" w:eastAsia="zh-CN"/>
              </w:rPr>
              <w:t>0.02hm²</w:t>
            </w:r>
            <w:r>
              <w:rPr>
                <w:rFonts w:hint="default" w:ascii="Times New Roman" w:hAnsi="Times New Roman" w:cs="Times New Roman"/>
                <w:color w:val="auto"/>
              </w:rPr>
              <w:t>，占压破坏的草地在施工结束后播撒</w:t>
            </w:r>
            <w:r>
              <w:rPr>
                <w:rFonts w:hint="default" w:ascii="Times New Roman" w:hAnsi="Times New Roman" w:cs="Times New Roman"/>
                <w:color w:val="auto"/>
                <w:lang w:val="en-US" w:eastAsia="zh-CN"/>
              </w:rPr>
              <w:t>蒿类、蒲公英、苣荬菜、</w:t>
            </w:r>
            <w:r>
              <w:rPr>
                <w:rFonts w:hint="default" w:ascii="Times New Roman" w:hAnsi="Times New Roman" w:cs="Times New Roman"/>
                <w:color w:val="auto"/>
              </w:rPr>
              <w:t>芨芨草、披碱草等</w:t>
            </w:r>
            <w:r>
              <w:rPr>
                <w:rFonts w:hint="default" w:ascii="Times New Roman" w:hAnsi="Times New Roman" w:cs="Times New Roman"/>
                <w:color w:val="auto"/>
                <w:lang w:val="en-US" w:eastAsia="zh-CN"/>
              </w:rPr>
              <w:t>当地</w:t>
            </w:r>
            <w:r>
              <w:rPr>
                <w:rFonts w:hint="default" w:ascii="Times New Roman" w:hAnsi="Times New Roman" w:cs="Times New Roman"/>
                <w:color w:val="auto"/>
              </w:rPr>
              <w:t>草种，恢复原有植被。</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同时本环评要求在施工期间应对施工人员加强生态保护教育，防止施工人员对工地及周围生态环境植被等造成破坏。</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综上所述，工程施工期将对区域生态环境产生一定的影响，但这种影响是短暂的，破坏性较小，在严格落实本环评提出的各项防治措施后，随着施工过程的结束，人为干扰的减少，损失的植被将有所恢复。</w:t>
            </w:r>
          </w:p>
          <w:p>
            <w:pPr>
              <w:adjustRightInd w:val="0"/>
              <w:snapToGrid w:val="0"/>
              <w:spacing w:line="360" w:lineRule="auto"/>
              <w:rPr>
                <w:rFonts w:hint="default" w:ascii="Times New Roman" w:hAnsi="Times New Roman" w:cs="Times New Roman"/>
                <w:b/>
                <w:bCs/>
                <w:color w:val="auto"/>
                <w:spacing w:val="10"/>
              </w:rPr>
            </w:pPr>
            <w:r>
              <w:rPr>
                <w:rFonts w:hint="default" w:ascii="Times New Roman" w:hAnsi="Times New Roman" w:cs="Times New Roman"/>
                <w:b/>
                <w:bCs/>
                <w:color w:val="auto"/>
                <w:spacing w:val="10"/>
              </w:rPr>
              <w:t>2、水生生态影响防治措施</w:t>
            </w:r>
          </w:p>
          <w:p>
            <w:pPr>
              <w:adjustRightInd w:val="0"/>
              <w:snapToGrid w:val="0"/>
              <w:spacing w:line="360" w:lineRule="auto"/>
              <w:ind w:firstLine="480"/>
              <w:rPr>
                <w:rFonts w:hint="default" w:ascii="Times New Roman" w:hAnsi="Times New Roman" w:cs="Times New Roman"/>
                <w:color w:val="auto"/>
                <w:spacing w:val="-14"/>
                <w:lang w:val="en-US" w:eastAsia="zh-CN"/>
              </w:rPr>
            </w:pPr>
            <w:r>
              <w:rPr>
                <w:rFonts w:hint="default" w:ascii="Times New Roman" w:hAnsi="Times New Roman" w:cs="Times New Roman"/>
                <w:bCs/>
                <w:color w:val="auto"/>
                <w:kern w:val="0"/>
                <w:lang w:val="en-US" w:eastAsia="zh-CN"/>
              </w:rPr>
              <w:t>本工程沟道为季节性沟渠，</w:t>
            </w:r>
            <w:r>
              <w:rPr>
                <w:rFonts w:hint="default" w:ascii="Times New Roman" w:hAnsi="Times New Roman" w:cs="Times New Roman"/>
                <w:color w:val="auto"/>
                <w:spacing w:val="-14"/>
              </w:rPr>
              <w:t>除夏季洪水来临时有水，其余季节均属于干沟</w:t>
            </w:r>
            <w:r>
              <w:rPr>
                <w:rFonts w:hint="default" w:ascii="Times New Roman" w:hAnsi="Times New Roman" w:cs="Times New Roman"/>
                <w:color w:val="auto"/>
                <w:spacing w:val="-14"/>
                <w:lang w:eastAsia="zh-CN"/>
              </w:rPr>
              <w:t>，</w:t>
            </w:r>
            <w:r>
              <w:rPr>
                <w:rFonts w:hint="default" w:ascii="Times New Roman" w:hAnsi="Times New Roman" w:cs="Times New Roman"/>
                <w:color w:val="auto"/>
                <w:spacing w:val="-14"/>
                <w:lang w:val="en-US" w:eastAsia="zh-CN"/>
              </w:rPr>
              <w:t>沟道内无水生生物，不会对水生生态产生影响。</w:t>
            </w:r>
          </w:p>
          <w:p>
            <w:pPr>
              <w:adjustRightInd w:val="0"/>
              <w:snapToGrid w:val="0"/>
              <w:spacing w:line="360" w:lineRule="auto"/>
              <w:ind w:firstLine="480"/>
              <w:rPr>
                <w:rFonts w:hint="default" w:ascii="Times New Roman" w:hAnsi="Times New Roman" w:cs="Times New Roman"/>
                <w:color w:val="auto"/>
                <w:kern w:val="0"/>
                <w:lang w:val="en-US"/>
              </w:rPr>
            </w:pPr>
            <w:r>
              <w:rPr>
                <w:rFonts w:hint="default" w:ascii="Times New Roman" w:hAnsi="Times New Roman" w:cs="Times New Roman"/>
                <w:color w:val="auto"/>
              </w:rPr>
              <w:t>本工程修建出水口导流墙</w:t>
            </w:r>
            <w:r>
              <w:rPr>
                <w:rFonts w:hint="default" w:ascii="Times New Roman" w:hAnsi="Times New Roman" w:eastAsia="Times New Roman" w:cs="Times New Roman"/>
                <w:color w:val="auto"/>
              </w:rPr>
              <w:t>10m</w:t>
            </w:r>
            <w:r>
              <w:rPr>
                <w:rFonts w:hint="default" w:ascii="Times New Roman" w:hAnsi="Times New Roman" w:cs="Times New Roman"/>
                <w:color w:val="auto"/>
              </w:rPr>
              <w:t>，左右岸各</w:t>
            </w:r>
            <w:r>
              <w:rPr>
                <w:rFonts w:hint="default" w:ascii="Times New Roman" w:hAnsi="Times New Roman" w:eastAsia="Times New Roman" w:cs="Times New Roman"/>
                <w:color w:val="auto"/>
              </w:rPr>
              <w:t>5m</w:t>
            </w:r>
            <w:r>
              <w:rPr>
                <w:rFonts w:hint="default" w:ascii="Times New Roman" w:hAnsi="Times New Roman" w:cs="Times New Roman"/>
                <w:color w:val="auto"/>
                <w:spacing w:val="-1"/>
              </w:rPr>
              <w:t>，与两侧沟岸垂直相连</w:t>
            </w:r>
            <w:r>
              <w:rPr>
                <w:rFonts w:hint="eastAsia" w:cs="Times New Roman"/>
                <w:color w:val="auto"/>
                <w:spacing w:val="-1"/>
                <w:lang w:eastAsia="zh-CN"/>
              </w:rPr>
              <w:t>，</w:t>
            </w:r>
            <w:r>
              <w:rPr>
                <w:rFonts w:hint="eastAsia" w:cs="Times New Roman"/>
                <w:color w:val="auto"/>
                <w:spacing w:val="-1"/>
                <w:lang w:val="en-US" w:eastAsia="zh-CN"/>
              </w:rPr>
              <w:t>沟道治理终点距离黄河入河口20m处，故建设导流墙时无涉水工程，不影响黄河水质，</w:t>
            </w:r>
            <w:r>
              <w:rPr>
                <w:rFonts w:hint="default" w:ascii="Times New Roman" w:hAnsi="Times New Roman" w:cs="Times New Roman"/>
                <w:color w:val="auto"/>
                <w:spacing w:val="-14"/>
                <w:lang w:val="en-US" w:eastAsia="zh-CN"/>
              </w:rPr>
              <w:t>不会对水生生态产生影响</w:t>
            </w:r>
            <w:r>
              <w:rPr>
                <w:rFonts w:hint="default" w:ascii="Times New Roman" w:hAnsi="Times New Roman" w:cs="Times New Roman"/>
                <w:color w:val="auto"/>
                <w:spacing w:val="-1"/>
                <w:lang w:val="en-US" w:eastAsia="zh-CN"/>
              </w:rPr>
              <w:t>。</w:t>
            </w:r>
            <w:r>
              <w:rPr>
                <w:rFonts w:hint="eastAsia" w:cs="Times New Roman"/>
                <w:color w:val="auto"/>
                <w:spacing w:val="-1"/>
                <w:lang w:val="en-US" w:eastAsia="zh-CN"/>
              </w:rPr>
              <w:t>环评要求</w:t>
            </w:r>
            <w:r>
              <w:rPr>
                <w:rFonts w:hint="default" w:ascii="Times New Roman" w:hAnsi="Times New Roman" w:cs="Times New Roman"/>
                <w:color w:val="auto"/>
                <w:highlight w:val="none"/>
              </w:rPr>
              <w:t>施工结束后产生的混凝土弃渣等固废</w:t>
            </w:r>
            <w:r>
              <w:rPr>
                <w:rFonts w:hint="eastAsia" w:cs="Times New Roman"/>
                <w:color w:val="auto"/>
                <w:highlight w:val="none"/>
                <w:lang w:val="en-US" w:eastAsia="zh-CN"/>
              </w:rPr>
              <w:t>严禁</w:t>
            </w:r>
            <w:r>
              <w:rPr>
                <w:rFonts w:hint="default" w:ascii="Times New Roman" w:hAnsi="Times New Roman" w:cs="Times New Roman"/>
                <w:color w:val="auto"/>
                <w:highlight w:val="none"/>
              </w:rPr>
              <w:t>倾倒在</w:t>
            </w:r>
            <w:r>
              <w:rPr>
                <w:rFonts w:hint="default" w:ascii="Times New Roman" w:hAnsi="Times New Roman" w:cs="Times New Roman"/>
                <w:color w:val="auto"/>
                <w:highlight w:val="none"/>
                <w:lang w:val="en-US" w:eastAsia="zh-CN"/>
              </w:rPr>
              <w:t>沟道中</w:t>
            </w:r>
            <w:r>
              <w:rPr>
                <w:rFonts w:hint="eastAsia" w:cs="Times New Roman"/>
                <w:color w:val="auto"/>
                <w:highlight w:val="none"/>
                <w:lang w:val="en-US" w:eastAsia="zh-CN"/>
              </w:rPr>
              <w:t>，</w:t>
            </w:r>
            <w:r>
              <w:rPr>
                <w:rFonts w:hint="default" w:ascii="Times New Roman" w:hAnsi="Times New Roman" w:cs="Times New Roman"/>
                <w:color w:val="auto"/>
                <w:spacing w:val="-1"/>
                <w:lang w:val="en-US" w:eastAsia="zh-CN"/>
              </w:rPr>
              <w:t>建设完成后，将沟道内施工产生的建筑垃圾等清理干净</w:t>
            </w:r>
            <w:r>
              <w:rPr>
                <w:rFonts w:hint="eastAsia" w:cs="Times New Roman"/>
                <w:color w:val="auto"/>
                <w:spacing w:val="-1"/>
                <w:lang w:val="en-US" w:eastAsia="zh-CN"/>
              </w:rPr>
              <w:t>，避免雨季雨水冲刷对下游黄水水质产生影响</w:t>
            </w:r>
            <w:r>
              <w:rPr>
                <w:rFonts w:hint="default" w:ascii="Times New Roman" w:hAnsi="Times New Roman" w:cs="Times New Roman"/>
                <w:color w:val="auto"/>
                <w:spacing w:val="-1"/>
                <w:lang w:val="en-US" w:eastAsia="zh-CN"/>
              </w:rPr>
              <w:t>。</w:t>
            </w:r>
          </w:p>
          <w:p>
            <w:pPr>
              <w:adjustRightInd w:val="0"/>
              <w:snapToGrid w:val="0"/>
              <w:spacing w:line="360" w:lineRule="auto"/>
              <w:rPr>
                <w:rFonts w:hint="default" w:ascii="Times New Roman" w:hAnsi="Times New Roman" w:cs="Times New Roman"/>
                <w:b/>
                <w:bCs/>
                <w:color w:val="auto"/>
                <w:spacing w:val="10"/>
              </w:rPr>
            </w:pPr>
            <w:r>
              <w:rPr>
                <w:rFonts w:hint="default" w:ascii="Times New Roman" w:hAnsi="Times New Roman" w:cs="Times New Roman"/>
                <w:b/>
                <w:bCs/>
                <w:color w:val="auto"/>
                <w:spacing w:val="10"/>
              </w:rPr>
              <w:t>3、水环境保护措施</w:t>
            </w:r>
          </w:p>
          <w:p>
            <w:pPr>
              <w:pStyle w:val="20"/>
              <w:spacing w:before="0" w:line="360" w:lineRule="auto"/>
              <w:ind w:firstLine="480" w:firstLineChars="200"/>
              <w:rPr>
                <w:rFonts w:hint="default" w:ascii="Times New Roman" w:hAnsi="Times New Roman" w:cs="Times New Roman"/>
                <w:bCs w:val="0"/>
                <w:color w:val="auto"/>
                <w:spacing w:val="10"/>
                <w:sz w:val="24"/>
              </w:rPr>
            </w:pPr>
            <w:r>
              <w:rPr>
                <w:rFonts w:hint="default" w:ascii="Times New Roman" w:hAnsi="Times New Roman" w:cs="Times New Roman"/>
                <w:b w:val="0"/>
                <w:bCs w:val="0"/>
                <w:color w:val="auto"/>
                <w:sz w:val="24"/>
                <w:szCs w:val="24"/>
              </w:rPr>
              <w:t>本</w:t>
            </w:r>
            <w:r>
              <w:rPr>
                <w:rFonts w:hint="eastAsia" w:ascii="Times New Roman" w:hAnsi="Times New Roman" w:cs="Times New Roman"/>
                <w:b w:val="0"/>
                <w:bCs w:val="0"/>
                <w:color w:val="auto"/>
                <w:sz w:val="24"/>
                <w:szCs w:val="24"/>
                <w:lang w:val="en-US" w:eastAsia="zh-CN"/>
              </w:rPr>
              <w:t>工程无涉水工程，</w:t>
            </w:r>
            <w:r>
              <w:rPr>
                <w:rFonts w:hint="default" w:ascii="Times New Roman" w:hAnsi="Times New Roman" w:cs="Times New Roman"/>
                <w:b w:val="0"/>
                <w:bCs w:val="0"/>
                <w:color w:val="auto"/>
                <w:sz w:val="24"/>
                <w:szCs w:val="24"/>
              </w:rPr>
              <w:t>施工期采取以下水环境保护措施：</w:t>
            </w:r>
          </w:p>
          <w:p>
            <w:pPr>
              <w:spacing w:line="360" w:lineRule="auto"/>
              <w:ind w:firstLine="520" w:firstLineChars="200"/>
              <w:rPr>
                <w:rFonts w:hint="default" w:ascii="Times New Roman" w:hAnsi="Times New Roman" w:cs="Times New Roman"/>
                <w:bCs/>
                <w:color w:val="auto"/>
                <w:spacing w:val="10"/>
              </w:rPr>
            </w:pPr>
            <w:r>
              <w:rPr>
                <w:rFonts w:hint="default" w:ascii="Times New Roman" w:hAnsi="Times New Roman" w:cs="Times New Roman"/>
                <w:bCs/>
                <w:color w:val="auto"/>
                <w:spacing w:val="10"/>
              </w:rPr>
              <w:t>（1）生活污水处理措施：</w:t>
            </w:r>
            <w:r>
              <w:rPr>
                <w:rFonts w:hint="default" w:ascii="Times New Roman" w:hAnsi="Times New Roman" w:cs="Times New Roman"/>
                <w:bCs/>
                <w:color w:val="auto"/>
                <w:sz w:val="24"/>
                <w:lang w:val="en-US" w:eastAsia="zh-CN"/>
              </w:rPr>
              <w:t>施工营地设置1处防渗旱厕，</w:t>
            </w:r>
            <w:r>
              <w:rPr>
                <w:rFonts w:hint="default" w:ascii="Times New Roman" w:hAnsi="Times New Roman" w:eastAsia="宋体" w:cs="Times New Roman"/>
                <w:color w:val="auto"/>
                <w:kern w:val="0"/>
                <w:sz w:val="24"/>
              </w:rPr>
              <w:t>粪便废水进入旱厕后定期清掏作为</w:t>
            </w:r>
            <w:r>
              <w:rPr>
                <w:rFonts w:hint="default" w:ascii="Times New Roman" w:hAnsi="Times New Roman" w:eastAsia="宋体" w:cs="Times New Roman"/>
                <w:color w:val="auto"/>
                <w:kern w:val="0"/>
                <w:sz w:val="24"/>
                <w:lang w:val="en-US" w:eastAsia="zh-CN"/>
              </w:rPr>
              <w:t>周边农田农肥</w:t>
            </w:r>
            <w:r>
              <w:rPr>
                <w:rFonts w:hint="default" w:ascii="Times New Roman" w:hAnsi="Times New Roman" w:eastAsia="宋体" w:cs="Times New Roman"/>
                <w:color w:val="auto"/>
                <w:kern w:val="0"/>
                <w:sz w:val="24"/>
              </w:rPr>
              <w:t>使用</w:t>
            </w:r>
            <w:r>
              <w:rPr>
                <w:rFonts w:hint="default" w:ascii="Times New Roman" w:hAnsi="Times New Roman" w:cs="Times New Roman"/>
                <w:b w:val="0"/>
                <w:bCs/>
                <w:color w:val="auto"/>
                <w:sz w:val="24"/>
              </w:rPr>
              <w:t>；生活盥洗水污染负荷较低，收集后全部综合利用于</w:t>
            </w:r>
            <w:r>
              <w:rPr>
                <w:rFonts w:hint="default" w:ascii="Times New Roman" w:hAnsi="Times New Roman" w:cs="Times New Roman"/>
                <w:b w:val="0"/>
                <w:bCs/>
                <w:color w:val="auto"/>
                <w:sz w:val="24"/>
                <w:lang w:val="en-US" w:eastAsia="zh-CN"/>
              </w:rPr>
              <w:t>施工场地</w:t>
            </w:r>
            <w:r>
              <w:rPr>
                <w:rFonts w:hint="default" w:ascii="Times New Roman" w:hAnsi="Times New Roman" w:cs="Times New Roman"/>
                <w:b w:val="0"/>
                <w:bCs/>
                <w:color w:val="auto"/>
                <w:sz w:val="24"/>
              </w:rPr>
              <w:t>洒水降尘</w:t>
            </w:r>
            <w:r>
              <w:rPr>
                <w:rFonts w:hint="default" w:ascii="Times New Roman" w:hAnsi="Times New Roman" w:cs="Times New Roman"/>
                <w:b w:val="0"/>
                <w:bCs/>
                <w:color w:val="auto"/>
                <w:sz w:val="24"/>
                <w:lang w:eastAsia="zh-CN"/>
              </w:rPr>
              <w:t>。</w:t>
            </w:r>
            <w:r>
              <w:rPr>
                <w:rFonts w:hint="default" w:ascii="Times New Roman" w:hAnsi="Times New Roman" w:cs="Times New Roman"/>
                <w:color w:val="auto"/>
                <w:kern w:val="0"/>
                <w:sz w:val="24"/>
              </w:rPr>
              <w:t xml:space="preserve"> </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（2）禁止在</w:t>
            </w:r>
            <w:r>
              <w:rPr>
                <w:rFonts w:hint="default" w:ascii="Times New Roman" w:hAnsi="Times New Roman" w:cs="Times New Roman"/>
                <w:bCs/>
                <w:color w:val="auto"/>
                <w:spacing w:val="10"/>
                <w:lang w:val="en-US" w:eastAsia="zh-CN"/>
              </w:rPr>
              <w:t>沟道内</w:t>
            </w:r>
            <w:r>
              <w:rPr>
                <w:rFonts w:hint="default" w:ascii="Times New Roman" w:hAnsi="Times New Roman" w:cs="Times New Roman"/>
                <w:bCs/>
                <w:color w:val="auto"/>
                <w:spacing w:val="10"/>
              </w:rPr>
              <w:t>倾倒垃圾、严禁施工结束后产生的生活垃圾、混凝土弃渣等固废倾倒在</w:t>
            </w:r>
            <w:r>
              <w:rPr>
                <w:rFonts w:hint="default" w:ascii="Times New Roman" w:hAnsi="Times New Roman" w:cs="Times New Roman"/>
                <w:bCs/>
                <w:color w:val="auto"/>
                <w:spacing w:val="10"/>
                <w:lang w:val="en-US" w:eastAsia="zh-CN"/>
              </w:rPr>
              <w:t>桥头</w:t>
            </w:r>
            <w:r>
              <w:rPr>
                <w:rFonts w:hint="default" w:ascii="Times New Roman" w:hAnsi="Times New Roman" w:cs="Times New Roman"/>
                <w:bCs/>
                <w:color w:val="auto"/>
                <w:spacing w:val="10"/>
              </w:rPr>
              <w:t>沟</w:t>
            </w:r>
            <w:r>
              <w:rPr>
                <w:rFonts w:hint="default" w:ascii="Times New Roman" w:hAnsi="Times New Roman" w:cs="Times New Roman"/>
                <w:bCs/>
                <w:color w:val="auto"/>
                <w:spacing w:val="10"/>
                <w:lang w:val="en-US" w:eastAsia="zh-CN"/>
              </w:rPr>
              <w:t>内；施工期分段，施工结束后，及时对沟道内的废混凝土、废料等进行清理，避免雨季雨水冲刷进入黄河。</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（3）加强机械设备的维护保养，避免施工机械在施工过程中发生漏油、滴油的现象发生。</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（4）</w:t>
            </w:r>
            <w:r>
              <w:rPr>
                <w:rFonts w:hint="default" w:ascii="Times New Roman" w:hAnsi="Times New Roman" w:cs="Times New Roman"/>
                <w:bCs/>
                <w:color w:val="auto"/>
                <w:spacing w:val="10"/>
                <w:lang w:val="en-US" w:eastAsia="zh-CN"/>
              </w:rPr>
              <w:t>车辆冲洗均安排在2#施工工区，2#施工工区设置1个移动式钢化沉淀池，冲洗废水经沉淀池沉淀后</w:t>
            </w:r>
            <w:r>
              <w:rPr>
                <w:rFonts w:hint="default" w:ascii="Times New Roman" w:hAnsi="Times New Roman" w:cs="Times New Roman"/>
                <w:bCs/>
                <w:color w:val="auto"/>
                <w:spacing w:val="10"/>
              </w:rPr>
              <w:t>用于</w:t>
            </w:r>
            <w:r>
              <w:rPr>
                <w:rFonts w:hint="default" w:ascii="Times New Roman" w:hAnsi="Times New Roman" w:cs="Times New Roman"/>
                <w:bCs/>
                <w:color w:val="auto"/>
                <w:spacing w:val="10"/>
                <w:lang w:val="en-US" w:eastAsia="zh-CN"/>
              </w:rPr>
              <w:t>场地内</w:t>
            </w:r>
            <w:r>
              <w:rPr>
                <w:rFonts w:hint="default" w:ascii="Times New Roman" w:hAnsi="Times New Roman" w:cs="Times New Roman"/>
                <w:bCs/>
                <w:color w:val="auto"/>
                <w:spacing w:val="10"/>
              </w:rPr>
              <w:t>洒水</w:t>
            </w:r>
            <w:r>
              <w:rPr>
                <w:rFonts w:hint="default" w:ascii="Times New Roman" w:hAnsi="Times New Roman" w:cs="Times New Roman"/>
                <w:bCs/>
                <w:color w:val="auto"/>
                <w:spacing w:val="10"/>
                <w:lang w:val="en-US" w:eastAsia="zh-CN"/>
              </w:rPr>
              <w:t>降尘</w:t>
            </w:r>
            <w:r>
              <w:rPr>
                <w:rFonts w:hint="default" w:ascii="Times New Roman" w:hAnsi="Times New Roman" w:cs="Times New Roman"/>
                <w:bCs/>
                <w:color w:val="auto"/>
                <w:spacing w:val="10"/>
              </w:rPr>
              <w:t>，严禁外排。</w:t>
            </w:r>
          </w:p>
          <w:p>
            <w:pPr>
              <w:adjustRightInd w:val="0"/>
              <w:snapToGrid w:val="0"/>
              <w:spacing w:line="360" w:lineRule="auto"/>
              <w:rPr>
                <w:rFonts w:hint="default" w:ascii="Times New Roman" w:hAnsi="Times New Roman" w:cs="Times New Roman"/>
                <w:b/>
                <w:bCs/>
                <w:color w:val="auto"/>
                <w:spacing w:val="10"/>
              </w:rPr>
            </w:pPr>
            <w:r>
              <w:rPr>
                <w:rFonts w:hint="default" w:ascii="Times New Roman" w:hAnsi="Times New Roman" w:cs="Times New Roman"/>
                <w:b/>
                <w:bCs/>
                <w:color w:val="auto"/>
                <w:spacing w:val="10"/>
              </w:rPr>
              <w:t>4、环境空气保护措施</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color w:val="auto"/>
                <w:kern w:val="0"/>
                <w:sz w:val="24"/>
              </w:rPr>
              <w:t>控制施工期的大气环境污染，主要是控制扬尘、汽车尾气等。为有效防治施工期废气对周围环境及现场作业人员的影响，本工程大气污染防治措施根据</w:t>
            </w:r>
            <w:r>
              <w:rPr>
                <w:rFonts w:hint="default" w:ascii="Times New Roman" w:hAnsi="Times New Roman" w:cs="Times New Roman"/>
                <w:bCs/>
                <w:color w:val="auto"/>
                <w:spacing w:val="10"/>
              </w:rPr>
              <w:t>《海东市202</w:t>
            </w:r>
            <w:r>
              <w:rPr>
                <w:rFonts w:hint="default" w:ascii="Times New Roman" w:hAnsi="Times New Roman" w:cs="Times New Roman"/>
                <w:bCs/>
                <w:color w:val="auto"/>
                <w:spacing w:val="10"/>
                <w:lang w:val="en-US" w:eastAsia="zh-CN"/>
              </w:rPr>
              <w:t>3</w:t>
            </w:r>
            <w:r>
              <w:rPr>
                <w:rFonts w:hint="default" w:ascii="Times New Roman" w:hAnsi="Times New Roman" w:cs="Times New Roman"/>
                <w:bCs/>
                <w:color w:val="auto"/>
                <w:spacing w:val="10"/>
              </w:rPr>
              <w:t>年大气污染防治工作方案》的要求，结合本项目施工</w:t>
            </w:r>
            <w:r>
              <w:rPr>
                <w:rFonts w:hint="default" w:ascii="Times New Roman" w:hAnsi="Times New Roman" w:cs="Times New Roman"/>
                <w:bCs/>
                <w:color w:val="auto"/>
                <w:spacing w:val="10"/>
                <w:lang w:val="en-US" w:eastAsia="zh-CN"/>
              </w:rPr>
              <w:t>特点</w:t>
            </w:r>
            <w:r>
              <w:rPr>
                <w:rFonts w:hint="default" w:ascii="Times New Roman" w:hAnsi="Times New Roman" w:cs="Times New Roman"/>
                <w:bCs/>
                <w:color w:val="auto"/>
                <w:spacing w:val="10"/>
              </w:rPr>
              <w:t>提出以下措施：</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（1）扬尘污染防治措施</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lang w:val="en-US" w:eastAsia="zh-CN"/>
              </w:rPr>
              <w:t>①</w:t>
            </w:r>
            <w:r>
              <w:rPr>
                <w:rFonts w:hint="default" w:ascii="Times New Roman" w:hAnsi="Times New Roman" w:cs="Times New Roman"/>
                <w:bCs/>
                <w:color w:val="auto"/>
                <w:spacing w:val="10"/>
              </w:rPr>
              <w:t>加强运输车辆的管理，合理安排施工车辆行驶路线，路经居民区集中区域应尽量减缓行驶车速；运输车辆密闭运输，采用篷布遮盖。</w:t>
            </w:r>
          </w:p>
          <w:p>
            <w:pPr>
              <w:pStyle w:val="22"/>
              <w:spacing w:line="360" w:lineRule="auto"/>
              <w:ind w:firstLine="520"/>
              <w:rPr>
                <w:rFonts w:hint="default" w:ascii="Times New Roman" w:hAnsi="Times New Roman" w:cs="Times New Roman"/>
                <w:bCs/>
                <w:color w:val="auto"/>
                <w:spacing w:val="10"/>
                <w:lang w:val="en-US" w:eastAsia="zh-CN"/>
              </w:rPr>
            </w:pPr>
            <w:r>
              <w:rPr>
                <w:rFonts w:hint="default" w:ascii="Times New Roman" w:hAnsi="Times New Roman" w:cs="Times New Roman"/>
                <w:bCs/>
                <w:color w:val="auto"/>
                <w:spacing w:val="10"/>
              </w:rPr>
              <w:t>②</w:t>
            </w:r>
            <w:r>
              <w:rPr>
                <w:rFonts w:hint="default" w:ascii="Times New Roman" w:hAnsi="Times New Roman" w:cs="Times New Roman"/>
                <w:bCs/>
                <w:color w:val="auto"/>
                <w:spacing w:val="10"/>
                <w:lang w:val="en-US" w:eastAsia="zh-CN"/>
              </w:rPr>
              <w:t>东滩六村、新村、桥头村部分敏感点紧邻沟道，在敏感点路段施工时，土方开挖、回填过程中安排洒水车，专人定期洒水，减少扬尘对敏感点村民的影响。</w:t>
            </w:r>
          </w:p>
          <w:p>
            <w:pPr>
              <w:pStyle w:val="22"/>
              <w:spacing w:line="360" w:lineRule="auto"/>
              <w:ind w:firstLine="520"/>
              <w:rPr>
                <w:rFonts w:hint="default" w:ascii="Times New Roman" w:hAnsi="Times New Roman" w:cs="Times New Roman"/>
                <w:bCs/>
                <w:color w:val="auto"/>
                <w:spacing w:val="10"/>
                <w:lang w:val="en-US" w:eastAsia="zh-CN"/>
              </w:rPr>
            </w:pPr>
            <w:r>
              <w:rPr>
                <w:rFonts w:hint="default" w:ascii="Times New Roman" w:hAnsi="Times New Roman" w:cs="Times New Roman"/>
                <w:bCs/>
                <w:color w:val="auto"/>
                <w:spacing w:val="10"/>
              </w:rPr>
              <w:t>③</w:t>
            </w:r>
            <w:r>
              <w:rPr>
                <w:rFonts w:hint="default" w:ascii="Times New Roman" w:hAnsi="Times New Roman" w:cs="Times New Roman"/>
                <w:bCs/>
                <w:color w:val="auto"/>
                <w:spacing w:val="10"/>
                <w:lang w:val="en-US" w:eastAsia="zh-CN"/>
              </w:rPr>
              <w:t>沟道两侧临时堆放的土方，采用防尘网苫盖，并安排专人定期洒水。</w:t>
            </w:r>
          </w:p>
          <w:p>
            <w:pPr>
              <w:pStyle w:val="22"/>
              <w:spacing w:line="360" w:lineRule="auto"/>
              <w:ind w:firstLine="520"/>
              <w:rPr>
                <w:rFonts w:hint="default" w:ascii="Times New Roman" w:hAnsi="Times New Roman" w:cs="Times New Roman"/>
                <w:bCs/>
                <w:color w:val="auto"/>
                <w:spacing w:val="10"/>
                <w:lang w:eastAsia="zh-CN"/>
              </w:rPr>
            </w:pPr>
            <w:r>
              <w:rPr>
                <w:rFonts w:hint="default" w:ascii="Times New Roman" w:hAnsi="Times New Roman" w:cs="Times New Roman"/>
                <w:bCs/>
                <w:color w:val="auto"/>
                <w:spacing w:val="10"/>
              </w:rPr>
              <w:t>④加强施工人员管理，提高人员环境保护意识，做好环境保护措施</w:t>
            </w:r>
            <w:r>
              <w:rPr>
                <w:rFonts w:hint="default" w:ascii="Times New Roman" w:hAnsi="Times New Roman" w:cs="Times New Roman"/>
                <w:bCs/>
                <w:color w:val="auto"/>
                <w:spacing w:val="10"/>
                <w:lang w:eastAsia="zh-CN"/>
              </w:rPr>
              <w:t>。</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综上所述，施工期采取的扬尘污染防治措施技术可行、经济合理，在落实上述措施后对区域大气污染影响较小。</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lang w:eastAsia="zh-CN"/>
              </w:rPr>
              <w:t>（</w:t>
            </w:r>
            <w:r>
              <w:rPr>
                <w:rFonts w:hint="default" w:ascii="Times New Roman" w:hAnsi="Times New Roman" w:cs="Times New Roman"/>
                <w:bCs/>
                <w:color w:val="auto"/>
                <w:spacing w:val="10"/>
                <w:lang w:val="en-US" w:eastAsia="zh-CN"/>
              </w:rPr>
              <w:t>2</w:t>
            </w:r>
            <w:r>
              <w:rPr>
                <w:rFonts w:hint="default" w:ascii="Times New Roman" w:hAnsi="Times New Roman" w:cs="Times New Roman"/>
                <w:bCs/>
                <w:color w:val="auto"/>
                <w:spacing w:val="10"/>
                <w:lang w:eastAsia="zh-CN"/>
              </w:rPr>
              <w:t>）</w:t>
            </w:r>
            <w:r>
              <w:rPr>
                <w:rFonts w:hint="default" w:ascii="Times New Roman" w:hAnsi="Times New Roman" w:cs="Times New Roman"/>
                <w:bCs/>
                <w:color w:val="auto"/>
                <w:spacing w:val="10"/>
              </w:rPr>
              <w:t>施工机械尾气</w:t>
            </w:r>
          </w:p>
          <w:p>
            <w:pPr>
              <w:pStyle w:val="22"/>
              <w:spacing w:line="360" w:lineRule="auto"/>
              <w:ind w:firstLine="520"/>
              <w:rPr>
                <w:rFonts w:hint="default" w:ascii="Times New Roman" w:hAnsi="Times New Roman" w:cs="Times New Roman"/>
                <w:bCs/>
                <w:color w:val="auto"/>
                <w:spacing w:val="10"/>
              </w:rPr>
            </w:pPr>
            <w:r>
              <w:rPr>
                <w:rFonts w:hint="default" w:ascii="Times New Roman" w:hAnsi="Times New Roman" w:cs="Times New Roman"/>
                <w:bCs/>
                <w:color w:val="auto"/>
                <w:spacing w:val="10"/>
              </w:rPr>
              <w:t>由于拟建项目所在地较为开阔，空气流通较好，车辆排放的尾气能够较快地扩散，不会对当地的环境空气产生较大影响。通过选用低能耗、低污染排放的施工运输车辆，加强施工机械的维护及保养，减少因车辆状况不佳造成的空气污染等措施进一步降低对环境空气的影响。</w:t>
            </w:r>
          </w:p>
          <w:p>
            <w:pPr>
              <w:adjustRightInd w:val="0"/>
              <w:snapToGrid w:val="0"/>
              <w:spacing w:line="360" w:lineRule="auto"/>
              <w:rPr>
                <w:rFonts w:hint="default" w:ascii="Times New Roman" w:hAnsi="Times New Roman" w:cs="Times New Roman"/>
                <w:b/>
                <w:color w:val="auto"/>
                <w:spacing w:val="10"/>
              </w:rPr>
            </w:pPr>
            <w:r>
              <w:rPr>
                <w:rFonts w:hint="default" w:ascii="Times New Roman" w:hAnsi="Times New Roman" w:cs="Times New Roman"/>
                <w:b/>
                <w:color w:val="auto"/>
                <w:spacing w:val="10"/>
              </w:rPr>
              <w:t>5、声环境保护措施</w:t>
            </w:r>
          </w:p>
          <w:p>
            <w:pPr>
              <w:pStyle w:val="10"/>
              <w:spacing w:line="360" w:lineRule="auto"/>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拟建项目施工期应结合场地周边环境敏感点情况，严格执行《建筑施工场界环境噪声排放标准》（GB12523-2011）等文件的相关要求，创造良好的施工环境，做到文明施工，</w:t>
            </w:r>
            <w:r>
              <w:rPr>
                <w:rFonts w:hint="default" w:ascii="Times New Roman" w:hAnsi="Times New Roman" w:cs="Times New Roman"/>
                <w:b/>
                <w:bCs/>
                <w:color w:val="auto"/>
                <w:sz w:val="24"/>
              </w:rPr>
              <w:t>尤其注意禁止夜间施工。</w:t>
            </w:r>
            <w:r>
              <w:rPr>
                <w:rFonts w:hint="default" w:ascii="Times New Roman" w:hAnsi="Times New Roman" w:cs="Times New Roman"/>
                <w:bCs/>
                <w:color w:val="auto"/>
                <w:sz w:val="24"/>
              </w:rPr>
              <w:t>为减小施工噪声对周边环境的影响，环评提出以下要求：</w:t>
            </w:r>
          </w:p>
          <w:p>
            <w:pPr>
              <w:pStyle w:val="22"/>
              <w:numPr>
                <w:ilvl w:val="0"/>
                <w:numId w:val="0"/>
              </w:num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夜间22：00至次日凌晨6</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00禁止施工，</w:t>
            </w:r>
            <w:r>
              <w:rPr>
                <w:rFonts w:hint="default" w:ascii="Times New Roman" w:hAnsi="Times New Roman" w:cs="Times New Roman"/>
                <w:color w:val="auto"/>
                <w:sz w:val="24"/>
              </w:rPr>
              <w:t>需连续施工作业的，必须在开工前到环境保护行政主管部门办理夜间施工审批，</w:t>
            </w:r>
            <w:r>
              <w:rPr>
                <w:rFonts w:hint="default" w:ascii="Times New Roman" w:hAnsi="Times New Roman" w:cs="Times New Roman"/>
                <w:bCs/>
                <w:color w:val="auto"/>
                <w:sz w:val="24"/>
              </w:rPr>
              <w:t>并向</w:t>
            </w:r>
            <w:r>
              <w:rPr>
                <w:rFonts w:hint="default" w:ascii="Times New Roman" w:hAnsi="Times New Roman" w:cs="Times New Roman"/>
                <w:bCs/>
                <w:color w:val="auto"/>
                <w:sz w:val="24"/>
                <w:lang w:val="en-US" w:eastAsia="zh-CN"/>
              </w:rPr>
              <w:t>沿线居民告知</w:t>
            </w:r>
            <w:r>
              <w:rPr>
                <w:rFonts w:hint="default" w:ascii="Times New Roman" w:hAnsi="Times New Roman" w:cs="Times New Roman"/>
                <w:bCs/>
                <w:color w:val="auto"/>
                <w:sz w:val="24"/>
              </w:rPr>
              <w:t>。昼间可以将施工作业时间与单位的休息时间错开，中午避免进行高噪声的施工作业；</w:t>
            </w:r>
          </w:p>
          <w:p>
            <w:pPr>
              <w:pStyle w:val="22"/>
              <w:numPr>
                <w:ilvl w:val="0"/>
                <w:numId w:val="0"/>
              </w:numPr>
              <w:spacing w:line="360" w:lineRule="auto"/>
              <w:ind w:firstLine="480" w:firstLineChars="200"/>
              <w:rPr>
                <w:rFonts w:hint="default" w:ascii="Times New Roman" w:hAnsi="Times New Roman" w:cs="Times New Roman"/>
                <w:bCs/>
                <w:color w:val="auto"/>
                <w:spacing w:val="10"/>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2</w:t>
            </w:r>
            <w:r>
              <w:rPr>
                <w:rFonts w:hint="default" w:ascii="Times New Roman" w:hAnsi="Times New Roman" w:cs="Times New Roman"/>
                <w:bCs/>
                <w:color w:val="auto"/>
                <w:lang w:eastAsia="zh-CN"/>
              </w:rPr>
              <w:t>）</w:t>
            </w:r>
            <w:r>
              <w:rPr>
                <w:rFonts w:hint="default" w:ascii="Times New Roman" w:hAnsi="Times New Roman" w:cs="Times New Roman"/>
                <w:bCs/>
                <w:color w:val="auto"/>
              </w:rPr>
              <w:t>防洪堤建设在</w:t>
            </w:r>
            <w:r>
              <w:rPr>
                <w:rFonts w:hint="default" w:ascii="Times New Roman" w:hAnsi="Times New Roman" w:cs="Times New Roman"/>
                <w:bCs/>
                <w:color w:val="auto"/>
                <w:lang w:val="en-US" w:eastAsia="zh-CN"/>
              </w:rPr>
              <w:t>东滩六村、桥头村、新村、东滩五村</w:t>
            </w:r>
            <w:r>
              <w:rPr>
                <w:rFonts w:hint="default" w:ascii="Times New Roman" w:hAnsi="Times New Roman" w:cs="Times New Roman"/>
                <w:bCs/>
                <w:color w:val="auto"/>
              </w:rPr>
              <w:t>敏感点附近施工时，设置临时声屏障，并征求村庄村民的谅解和同意。</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w:t>
            </w:r>
            <w:r>
              <w:rPr>
                <w:rFonts w:hint="default" w:ascii="Times New Roman" w:hAnsi="Times New Roman" w:cs="Times New Roman"/>
                <w:color w:val="auto"/>
                <w:sz w:val="24"/>
              </w:rPr>
              <w:t>强化项目施工期间环境管理，严格控制施工车辆运行，避免进出场地造成道路堵塞。</w:t>
            </w:r>
            <w:r>
              <w:rPr>
                <w:rFonts w:hint="default" w:ascii="Times New Roman" w:hAnsi="Times New Roman" w:cs="Times New Roman"/>
                <w:color w:val="auto"/>
                <w:sz w:val="24"/>
                <w:lang w:val="en-US" w:eastAsia="zh-CN"/>
              </w:rPr>
              <w:t>施工沿线</w:t>
            </w:r>
            <w:r>
              <w:rPr>
                <w:rFonts w:hint="default" w:ascii="Times New Roman" w:hAnsi="Times New Roman" w:cs="Times New Roman"/>
                <w:color w:val="auto"/>
                <w:sz w:val="24"/>
              </w:rPr>
              <w:t>车辆限速行驶、禁鸣喇叭，减少其交通噪声对周边环境的影响。此外，夜</w:t>
            </w:r>
            <w:r>
              <w:rPr>
                <w:rFonts w:hint="default" w:ascii="Times New Roman" w:hAnsi="Times New Roman" w:cs="Times New Roman"/>
                <w:color w:val="auto"/>
                <w:sz w:val="24"/>
              </w:rPr>
              <w:t>间应尽量避免大量施工车辆运行，以保证道路两侧居民的休息环境</w:t>
            </w:r>
            <w:r>
              <w:rPr>
                <w:rFonts w:hint="default" w:ascii="Times New Roman" w:hAnsi="Times New Roman" w:cs="Times New Roman"/>
                <w:color w:val="auto"/>
                <w:sz w:val="24"/>
                <w:lang w:eastAsia="zh-CN"/>
              </w:rPr>
              <w:t>。</w:t>
            </w:r>
          </w:p>
          <w:p>
            <w:pPr>
              <w:pStyle w:val="22"/>
              <w:spacing w:line="360" w:lineRule="auto"/>
              <w:ind w:firstLine="520"/>
              <w:rPr>
                <w:rFonts w:hint="default" w:ascii="Times New Roman" w:hAnsi="Times New Roman" w:eastAsia="宋体" w:cs="Times New Roman"/>
                <w:bCs/>
                <w:color w:val="auto"/>
                <w:sz w:val="24"/>
                <w:lang w:eastAsia="zh-CN"/>
              </w:rPr>
            </w:pPr>
            <w:r>
              <w:rPr>
                <w:rFonts w:hint="default" w:ascii="Times New Roman" w:hAnsi="Times New Roman" w:cs="Times New Roman"/>
                <w:color w:val="auto"/>
                <w:sz w:val="24"/>
              </w:rPr>
              <w:t>（4）</w:t>
            </w:r>
            <w:r>
              <w:rPr>
                <w:rFonts w:hint="default" w:ascii="Times New Roman" w:hAnsi="Times New Roman" w:cs="Times New Roman"/>
                <w:bCs/>
                <w:color w:val="auto"/>
                <w:sz w:val="24"/>
              </w:rPr>
              <w:t>减少人为噪音：应严格执行《建筑工程施工现场管理规定》，进行文明施工，建立健全现场噪声管理责任制，加强对施工人员的素质培养，建筑材料轻拿轻放，增强全体施工人员防噪声扰民的意识</w:t>
            </w:r>
            <w:r>
              <w:rPr>
                <w:rFonts w:hint="default" w:ascii="Times New Roman" w:hAnsi="Times New Roman" w:cs="Times New Roman"/>
                <w:bCs/>
                <w:color w:val="auto"/>
                <w:sz w:val="24"/>
                <w:lang w:eastAsia="zh-CN"/>
              </w:rPr>
              <w:t>。</w:t>
            </w:r>
          </w:p>
          <w:p>
            <w:pPr>
              <w:spacing w:line="360" w:lineRule="auto"/>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bCs/>
                <w:color w:val="auto"/>
                <w:sz w:val="24"/>
              </w:rPr>
              <w:t>积极改进作业技术，采用先进设备与材料，降低作业噪声的产生量。尽量选用低噪声或备有消声降噪的施工机械。施工现场的强噪声机械可以设置作业棚，以减少强噪音的扩散</w:t>
            </w:r>
            <w:r>
              <w:rPr>
                <w:rFonts w:hint="default" w:ascii="Times New Roman" w:hAnsi="Times New Roman" w:cs="Times New Roman"/>
                <w:bCs/>
                <w:color w:val="auto"/>
                <w:sz w:val="24"/>
                <w:lang w:eastAsia="zh-CN"/>
              </w:rPr>
              <w:t>。</w:t>
            </w:r>
          </w:p>
          <w:p>
            <w:pPr>
              <w:pStyle w:val="22"/>
              <w:spacing w:after="0" w:line="360" w:lineRule="auto"/>
              <w:ind w:left="0" w:leftChars="0" w:firstLine="48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z w:val="24"/>
              </w:rPr>
              <w:t>采取有效措施对施工噪声进行控制后，施工期噪声能满足《建筑施工场界环境噪声排放标准》（GB12523－2011）标准的要求，防止噪声扰民情况的发生。</w:t>
            </w:r>
          </w:p>
          <w:p>
            <w:pPr>
              <w:adjustRightInd w:val="0"/>
              <w:snapToGrid w:val="0"/>
              <w:spacing w:line="360" w:lineRule="auto"/>
              <w:rPr>
                <w:rFonts w:hint="default" w:ascii="Times New Roman" w:hAnsi="Times New Roman" w:cs="Times New Roman"/>
                <w:b/>
                <w:bCs/>
                <w:color w:val="auto"/>
                <w:spacing w:val="10"/>
              </w:rPr>
            </w:pPr>
            <w:r>
              <w:rPr>
                <w:rFonts w:hint="default" w:ascii="Times New Roman" w:hAnsi="Times New Roman" w:cs="Times New Roman"/>
                <w:b/>
                <w:bCs/>
                <w:color w:val="auto"/>
                <w:spacing w:val="10"/>
              </w:rPr>
              <w:t>6、</w:t>
            </w:r>
            <w:r>
              <w:rPr>
                <w:rFonts w:hint="default" w:ascii="Times New Roman" w:hAnsi="Times New Roman" w:cs="Times New Roman"/>
                <w:b/>
                <w:color w:val="auto"/>
                <w:spacing w:val="10"/>
              </w:rPr>
              <w:t>固体废物影响防治措施</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项目施工期固体废弃物来源于废</w:t>
            </w:r>
            <w:r>
              <w:rPr>
                <w:rFonts w:hint="default" w:ascii="Times New Roman" w:hAnsi="Times New Roman" w:cs="Times New Roman"/>
                <w:color w:val="auto"/>
                <w:sz w:val="24"/>
                <w:lang w:val="en-US" w:eastAsia="zh-CN"/>
              </w:rPr>
              <w:t>混凝土</w:t>
            </w:r>
            <w:r>
              <w:rPr>
                <w:rFonts w:hint="default" w:ascii="Times New Roman" w:hAnsi="Times New Roman" w:cs="Times New Roman"/>
                <w:color w:val="auto"/>
                <w:sz w:val="24"/>
              </w:rPr>
              <w:t>、材料等建筑垃圾和施工人员的生活垃圾。</w:t>
            </w:r>
            <w:r>
              <w:rPr>
                <w:rFonts w:hint="default" w:ascii="Times New Roman" w:hAnsi="Times New Roman" w:cs="Times New Roman"/>
                <w:bCs/>
                <w:color w:val="auto"/>
                <w:sz w:val="24"/>
              </w:rPr>
              <w:t>为减小施工期固体废弃物对周边环境的影响，环评提出以下要求：</w:t>
            </w:r>
          </w:p>
          <w:p>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（1）</w:t>
            </w:r>
            <w:r>
              <w:rPr>
                <w:rFonts w:hint="default" w:ascii="Times New Roman" w:hAnsi="Times New Roman" w:cs="Times New Roman"/>
                <w:bCs/>
                <w:color w:val="auto"/>
                <w:spacing w:val="10"/>
              </w:rPr>
              <w:t>施工过程中产生的废弃材料必须回收，遗弃的沙石、建材、钢材、包装材料等分类堆放，具有回收利用价值的建筑垃圾，外售给废品回收站，不能回收利用的及时清运至城管部门指定的建筑垃圾处理场。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）在施工营地设置垃圾箱，施工人员生活垃圾定点收集，及时清运；</w:t>
            </w:r>
          </w:p>
          <w:p>
            <w:pPr>
              <w:pStyle w:val="22"/>
              <w:spacing w:after="0" w:line="360" w:lineRule="auto"/>
              <w:ind w:left="0" w:leftChars="0" w:firstLine="480" w:firstLineChars="200"/>
              <w:rPr>
                <w:rFonts w:hint="default" w:ascii="Times New Roman" w:hAnsi="Times New Roman" w:cs="Times New Roman"/>
                <w:bCs/>
                <w:color w:val="auto"/>
                <w:spacing w:val="10"/>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）对收集、贮存、运输、处置固体废物的设施、设备和场所，加强管理和维护，保证其正常运行和使用。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701" w:type="dxa"/>
            <w:tcMar>
              <w:left w:w="28" w:type="dxa"/>
              <w:right w:w="28" w:type="dxa"/>
            </w:tcMar>
            <w:vAlign w:val="center"/>
          </w:tcPr>
          <w:p>
            <w:pPr>
              <w:adjustRightInd w:val="0"/>
              <w:snapToGrid w:val="0"/>
              <w:spacing w:line="360" w:lineRule="auto"/>
              <w:jc w:val="both"/>
              <w:rPr>
                <w:rFonts w:hint="default" w:ascii="Times New Roman" w:hAnsi="Times New Roman" w:cs="Times New Roman"/>
                <w:b/>
                <w:color w:val="auto"/>
                <w:spacing w:val="10"/>
              </w:rPr>
            </w:pPr>
            <w:r>
              <w:rPr>
                <w:rFonts w:hint="default" w:ascii="Times New Roman" w:hAnsi="Times New Roman" w:cs="Times New Roman"/>
                <w:b/>
                <w:color w:val="auto"/>
                <w:spacing w:val="10"/>
              </w:rPr>
              <w:t>运营期生态环境保护措施</w:t>
            </w:r>
          </w:p>
        </w:tc>
        <w:tc>
          <w:tcPr>
            <w:tcW w:w="7803" w:type="dxa"/>
          </w:tcPr>
          <w:p>
            <w:pPr>
              <w:adjustRightInd w:val="0"/>
              <w:snapToGrid w:val="0"/>
              <w:spacing w:beforeLines="50" w:line="360" w:lineRule="auto"/>
              <w:ind w:firstLine="520" w:firstLineChars="200"/>
              <w:jc w:val="both"/>
              <w:rPr>
                <w:rFonts w:hint="default"/>
                <w:color w:val="auto"/>
              </w:rPr>
            </w:pPr>
            <w:r>
              <w:rPr>
                <w:rFonts w:hint="default" w:ascii="Times New Roman" w:hAnsi="Times New Roman" w:cs="Times New Roman"/>
                <w:bCs/>
                <w:color w:val="auto"/>
                <w:spacing w:val="10"/>
              </w:rPr>
              <w:t>本项目运行过程中不产生废气、废水</w:t>
            </w:r>
            <w:r>
              <w:rPr>
                <w:rFonts w:hint="eastAsia" w:cs="Times New Roman"/>
                <w:bCs/>
                <w:color w:val="auto"/>
                <w:spacing w:val="10"/>
                <w:lang w:eastAsia="zh-CN"/>
              </w:rPr>
              <w:t>、</w:t>
            </w:r>
            <w:r>
              <w:rPr>
                <w:rFonts w:hint="eastAsia" w:cs="Times New Roman"/>
                <w:bCs/>
                <w:color w:val="auto"/>
                <w:spacing w:val="10"/>
                <w:lang w:val="en-US" w:eastAsia="zh-CN"/>
              </w:rPr>
              <w:t>固废</w:t>
            </w:r>
            <w:r>
              <w:rPr>
                <w:rFonts w:hint="default" w:ascii="Times New Roman" w:hAnsi="Times New Roman" w:cs="Times New Roman"/>
                <w:bCs/>
                <w:color w:val="auto"/>
                <w:spacing w:val="10"/>
              </w:rPr>
              <w:t>等污染物。</w:t>
            </w:r>
            <w:r>
              <w:rPr>
                <w:rFonts w:hint="eastAsia"/>
                <w:color w:val="auto"/>
                <w:sz w:val="24"/>
                <w:lang w:val="en-GB"/>
              </w:rPr>
              <w:t>本</w:t>
            </w:r>
            <w:r>
              <w:rPr>
                <w:rFonts w:hint="eastAsia"/>
                <w:color w:val="auto"/>
                <w:sz w:val="24"/>
                <w:lang w:val="en-US" w:eastAsia="zh-CN"/>
              </w:rPr>
              <w:t>工程排洪渠、</w:t>
            </w:r>
            <w:r>
              <w:rPr>
                <w:rFonts w:hint="eastAsia"/>
                <w:color w:val="auto"/>
                <w:sz w:val="24"/>
              </w:rPr>
              <w:t>防洪堤</w:t>
            </w:r>
            <w:r>
              <w:rPr>
                <w:color w:val="auto"/>
                <w:sz w:val="24"/>
                <w:lang w:val="en-GB"/>
              </w:rPr>
              <w:t>的建设，极大地抑制了</w:t>
            </w:r>
            <w:r>
              <w:rPr>
                <w:rFonts w:hint="eastAsia"/>
                <w:color w:val="auto"/>
                <w:sz w:val="24"/>
                <w:lang w:val="en-US" w:eastAsia="zh-CN"/>
              </w:rPr>
              <w:t>沟道</w:t>
            </w:r>
            <w:r>
              <w:rPr>
                <w:color w:val="auto"/>
                <w:sz w:val="24"/>
                <w:lang w:val="en-GB"/>
              </w:rPr>
              <w:t>冲刷、</w:t>
            </w:r>
            <w:r>
              <w:rPr>
                <w:rFonts w:hint="eastAsia"/>
                <w:color w:val="auto"/>
                <w:sz w:val="24"/>
                <w:lang w:val="en-US" w:eastAsia="zh-CN"/>
              </w:rPr>
              <w:t>沟道</w:t>
            </w:r>
            <w:r>
              <w:rPr>
                <w:color w:val="auto"/>
                <w:sz w:val="24"/>
                <w:lang w:val="en-GB"/>
              </w:rPr>
              <w:t>淤积等不良现象，</w:t>
            </w:r>
            <w:r>
              <w:rPr>
                <w:rFonts w:hint="eastAsia"/>
                <w:color w:val="auto"/>
                <w:sz w:val="24"/>
                <w:lang w:val="en-US" w:eastAsia="zh-CN"/>
              </w:rPr>
              <w:t>可改善下游水状况</w:t>
            </w:r>
            <w:r>
              <w:rPr>
                <w:rFonts w:hint="eastAsia"/>
                <w:color w:val="auto"/>
                <w:sz w:val="24"/>
                <w:lang w:eastAsia="zh-CN"/>
              </w:rPr>
              <w:t>，</w:t>
            </w:r>
            <w:r>
              <w:rPr>
                <w:rFonts w:hint="eastAsia"/>
                <w:color w:val="auto"/>
                <w:sz w:val="24"/>
                <w:lang w:val="en-US" w:eastAsia="zh-CN"/>
              </w:rPr>
              <w:t>也</w:t>
            </w:r>
            <w:r>
              <w:rPr>
                <w:rFonts w:hint="default" w:ascii="Times New Roman" w:hAnsi="Times New Roman" w:cs="Times New Roman"/>
                <w:color w:val="auto"/>
              </w:rPr>
              <w:t>可发挥防洪重大作用，保护人民生命财产安全以及社会经济的稳定发展</w:t>
            </w:r>
            <w:r>
              <w:rPr>
                <w:rFonts w:hint="eastAsia" w:cs="Times New Roman"/>
                <w:color w:val="auto"/>
                <w:lang w:eastAsia="zh-CN"/>
              </w:rPr>
              <w:t>；</w:t>
            </w:r>
            <w:r>
              <w:rPr>
                <w:color w:val="auto"/>
                <w:sz w:val="24"/>
                <w:lang w:val="en-GB"/>
              </w:rPr>
              <w:t>同时随着河道面貌的改观还可以美化</w:t>
            </w:r>
            <w:r>
              <w:rPr>
                <w:rFonts w:hint="eastAsia"/>
                <w:color w:val="auto"/>
                <w:sz w:val="24"/>
                <w:lang w:val="en-GB"/>
              </w:rPr>
              <w:t>河道两岸</w:t>
            </w:r>
            <w:r>
              <w:rPr>
                <w:color w:val="auto"/>
                <w:sz w:val="24"/>
                <w:lang w:val="en-GB"/>
              </w:rPr>
              <w:t>景观环境，有利于改善沿河两岸形成</w:t>
            </w:r>
            <w:r>
              <w:rPr>
                <w:rFonts w:hint="eastAsia"/>
                <w:color w:val="auto"/>
                <w:sz w:val="24"/>
                <w:lang w:val="en-GB"/>
              </w:rPr>
              <w:t>的</w:t>
            </w:r>
            <w:r>
              <w:rPr>
                <w:color w:val="auto"/>
                <w:sz w:val="24"/>
                <w:lang w:val="en-GB"/>
              </w:rPr>
              <w:t>混杂的土地使用现状</w:t>
            </w:r>
            <w:r>
              <w:rPr>
                <w:rFonts w:hint="eastAsia"/>
                <w:color w:val="auto"/>
                <w:sz w:val="24"/>
                <w:lang w:val="en-GB"/>
              </w:rPr>
              <w:t>；</w:t>
            </w:r>
            <w:r>
              <w:rPr>
                <w:color w:val="auto"/>
                <w:sz w:val="24"/>
                <w:lang w:val="en-GB"/>
              </w:rPr>
              <w:t>本项目的建设对于</w:t>
            </w:r>
            <w:r>
              <w:rPr>
                <w:rFonts w:hint="eastAsia"/>
                <w:color w:val="auto"/>
                <w:sz w:val="24"/>
                <w:lang w:val="en-GB"/>
              </w:rPr>
              <w:t>化隆县</w:t>
            </w:r>
            <w:r>
              <w:rPr>
                <w:color w:val="auto"/>
                <w:sz w:val="24"/>
                <w:lang w:val="en-GB"/>
              </w:rPr>
              <w:t>积极推进生态文明改革，推动国民经济发展，生态环境质量升级，将区域的环境文化优势转化为区域发展优势增强区域生态综合实力意义重大，通过对项目区基础设施项目的建设，进一步提高项目区周边的生态环境。进而对项目区生态保护起到积极的示范作用，最终获得经济效益与生态效益的双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1" w:type="dxa"/>
            <w:vAlign w:val="center"/>
          </w:tcPr>
          <w:p>
            <w:pPr>
              <w:adjustRightInd w:val="0"/>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其</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rPr>
              <w:t>他</w:t>
            </w:r>
          </w:p>
        </w:tc>
        <w:tc>
          <w:tcPr>
            <w:tcW w:w="7803" w:type="dxa"/>
          </w:tcPr>
          <w:p>
            <w:pPr>
              <w:spacing w:beforeLines="50" w:line="360" w:lineRule="auto"/>
              <w:jc w:val="left"/>
              <w:rPr>
                <w:rFonts w:hint="default" w:ascii="Times New Roman" w:hAnsi="Times New Roman" w:cs="Times New Roman"/>
                <w:b/>
                <w:color w:val="auto"/>
              </w:rPr>
            </w:pPr>
            <w:r>
              <w:rPr>
                <w:rFonts w:hint="default" w:ascii="Times New Roman" w:hAnsi="Times New Roman" w:cs="Times New Roman"/>
                <w:b/>
                <w:color w:val="auto"/>
              </w:rPr>
              <w:t>1、环境管理计划</w:t>
            </w:r>
          </w:p>
          <w:p>
            <w:pPr>
              <w:spacing w:line="360" w:lineRule="auto"/>
              <w:ind w:firstLine="480" w:firstLineChars="200"/>
              <w:jc w:val="left"/>
              <w:rPr>
                <w:rFonts w:hint="default" w:ascii="Times New Roman" w:hAnsi="Times New Roman" w:cs="Times New Roman"/>
                <w:color w:val="auto"/>
              </w:rPr>
            </w:pPr>
            <w:bookmarkStart w:id="12" w:name="_Toc193042896"/>
            <w:bookmarkStart w:id="13" w:name="_Toc192070745"/>
            <w:bookmarkStart w:id="14" w:name="_Toc193045171"/>
            <w:r>
              <w:rPr>
                <w:rFonts w:hint="default" w:ascii="Times New Roman" w:hAnsi="Times New Roman" w:cs="Times New Roman"/>
                <w:color w:val="auto"/>
              </w:rPr>
              <w:t>通过实施环境管理，制定并落实建设项目环境监测计划，对项目施工期过程进行环境管理，及时发现与项目建设有关的环境问题，对环保措施进行修正和改进，保证环保工程措施的有效落实，使项目的建设和环境、资源的保护相协调，保障经济和社会的可持续发展。</w:t>
            </w:r>
          </w:p>
          <w:p>
            <w:pPr>
              <w:spacing w:line="360" w:lineRule="auto"/>
              <w:ind w:firstLine="482" w:firstLineChars="200"/>
              <w:jc w:val="left"/>
              <w:rPr>
                <w:rFonts w:hint="default" w:ascii="Times New Roman" w:hAnsi="Times New Roman" w:cs="Times New Roman"/>
                <w:b/>
                <w:color w:val="auto"/>
              </w:rPr>
            </w:pPr>
            <w:r>
              <w:rPr>
                <w:rFonts w:hint="default" w:ascii="Times New Roman" w:hAnsi="Times New Roman" w:cs="Times New Roman"/>
                <w:b/>
                <w:color w:val="auto"/>
              </w:rPr>
              <w:t>（1）环境管理机构</w:t>
            </w:r>
            <w:bookmarkEnd w:id="12"/>
            <w:bookmarkEnd w:id="13"/>
            <w:bookmarkEnd w:id="14"/>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本项目建设单位化隆回族自治县水利局以及施工单位是本工程环境保护管理的执行机构；环境管理监督机构为化隆回族自治县水利局，本项目环境保护管理的执行情况应接受上述环保主管部门的监督和指导，同时还应接受项目周边公众的监督。</w:t>
            </w:r>
          </w:p>
          <w:p>
            <w:pPr>
              <w:spacing w:line="360" w:lineRule="auto"/>
              <w:ind w:firstLine="482" w:firstLineChars="200"/>
              <w:jc w:val="left"/>
              <w:rPr>
                <w:rFonts w:hint="default" w:ascii="Times New Roman" w:hAnsi="Times New Roman" w:cs="Times New Roman"/>
                <w:b/>
                <w:color w:val="auto"/>
              </w:rPr>
            </w:pPr>
            <w:bookmarkStart w:id="15" w:name="_Toc192070746"/>
            <w:bookmarkStart w:id="16" w:name="_Toc193042897"/>
            <w:bookmarkStart w:id="17" w:name="_Toc193045172"/>
            <w:r>
              <w:rPr>
                <w:rFonts w:hint="default" w:ascii="Times New Roman" w:hAnsi="Times New Roman" w:cs="Times New Roman"/>
                <w:b/>
                <w:color w:val="auto"/>
              </w:rPr>
              <w:t>（2）环境管理机构职责</w:t>
            </w:r>
            <w:bookmarkEnd w:id="15"/>
            <w:bookmarkEnd w:id="16"/>
            <w:bookmarkEnd w:id="17"/>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①贯彻执行国家、地方的有关环境保护法规、条例、标准。</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②项目建设单位应按报告表提出的环保工程措施与对策，与各施工单位签订环保措施责任书，施工合同应有环保要求内容，以使施工过程各项环保工程措施得到有效执行。</w:t>
            </w:r>
          </w:p>
          <w:p>
            <w:pPr>
              <w:spacing w:line="360" w:lineRule="auto"/>
              <w:ind w:firstLine="482" w:firstLineChars="200"/>
              <w:jc w:val="left"/>
              <w:rPr>
                <w:rFonts w:hint="default" w:ascii="Times New Roman" w:hAnsi="Times New Roman" w:cs="Times New Roman"/>
                <w:b/>
                <w:color w:val="auto"/>
              </w:rPr>
            </w:pPr>
            <w:bookmarkStart w:id="18" w:name="_Toc193045173"/>
            <w:bookmarkStart w:id="19" w:name="_Toc193042898"/>
            <w:bookmarkStart w:id="20" w:name="_Toc192070747"/>
            <w:r>
              <w:rPr>
                <w:rFonts w:hint="default" w:ascii="Times New Roman" w:hAnsi="Times New Roman" w:cs="Times New Roman"/>
                <w:b/>
                <w:color w:val="auto"/>
              </w:rPr>
              <w:t>（3）环境管理计划</w:t>
            </w:r>
            <w:bookmarkEnd w:id="18"/>
            <w:bookmarkEnd w:id="19"/>
            <w:bookmarkEnd w:id="20"/>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拟建项目实施过程中的环境管理计划见表。</w:t>
            </w:r>
          </w:p>
          <w:p>
            <w:pPr>
              <w:jc w:val="center"/>
              <w:rPr>
                <w:rFonts w:hint="default" w:ascii="Times New Roman" w:hAnsi="Times New Roman" w:cs="Times New Roman"/>
                <w:b/>
                <w:bCs/>
                <w:color w:val="auto"/>
              </w:rPr>
            </w:pPr>
            <w:r>
              <w:rPr>
                <w:rFonts w:hint="default" w:ascii="Times New Roman" w:hAnsi="Times New Roman" w:cs="Times New Roman"/>
                <w:b/>
                <w:bCs/>
                <w:color w:val="auto"/>
              </w:rPr>
              <w:t>表5-1  工程环境管理计划</w:t>
            </w:r>
          </w:p>
          <w:tbl>
            <w:tblPr>
              <w:tblStyle w:val="23"/>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3"/>
              <w:gridCol w:w="1087"/>
              <w:gridCol w:w="4566"/>
              <w:gridCol w:w="641"/>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阶段</w:t>
                  </w:r>
                </w:p>
              </w:tc>
              <w:tc>
                <w:tcPr>
                  <w:tcW w:w="1087"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主要影响</w:t>
                  </w:r>
                </w:p>
              </w:tc>
              <w:tc>
                <w:tcPr>
                  <w:tcW w:w="4566"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减缓措施</w:t>
                  </w:r>
                </w:p>
              </w:tc>
              <w:tc>
                <w:tcPr>
                  <w:tcW w:w="641"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实施</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机构</w:t>
                  </w:r>
                </w:p>
              </w:tc>
              <w:tc>
                <w:tcPr>
                  <w:tcW w:w="643" w:type="dxa"/>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负责</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1087"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val="zh-CN"/>
                    </w:rPr>
                    <w:t>废水</w:t>
                  </w:r>
                </w:p>
              </w:tc>
              <w:tc>
                <w:tcPr>
                  <w:tcW w:w="4566" w:type="dxa"/>
                  <w:tcBorders>
                    <w:tl2br w:val="nil"/>
                    <w:tr2bl w:val="nil"/>
                  </w:tcBorders>
                  <w:vAlign w:val="center"/>
                </w:tcPr>
                <w:p>
                  <w:pP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val="zh-CN"/>
                    </w:rPr>
                    <w:t>盥洗废水泼洒降尘。</w:t>
                  </w:r>
                </w:p>
              </w:tc>
              <w:tc>
                <w:tcPr>
                  <w:tcW w:w="641"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643" w:type="dxa"/>
                  <w:vMerge w:val="restar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87"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4566" w:type="dxa"/>
                  <w:tcBorders>
                    <w:tl2br w:val="nil"/>
                    <w:tr2bl w:val="nil"/>
                  </w:tcBorders>
                  <w:vAlign w:val="center"/>
                </w:tcPr>
                <w:p>
                  <w:pPr>
                    <w:pStyle w:val="20"/>
                    <w:spacing w:before="0"/>
                    <w:rPr>
                      <w:rFonts w:hint="default" w:ascii="Times New Roman" w:hAnsi="Times New Roman" w:cs="Times New Roman"/>
                      <w:color w:val="auto"/>
                      <w:sz w:val="21"/>
                      <w:szCs w:val="21"/>
                    </w:rPr>
                  </w:pPr>
                  <w:r>
                    <w:rPr>
                      <w:rFonts w:hint="default" w:ascii="Times New Roman" w:hAnsi="Times New Roman" w:cs="Times New Roman"/>
                      <w:b w:val="0"/>
                      <w:color w:val="auto"/>
                      <w:kern w:val="0"/>
                      <w:sz w:val="21"/>
                      <w:szCs w:val="21"/>
                    </w:rPr>
                    <w:t>施工废水经沉淀池处理后洒水降尘，不外排。</w:t>
                  </w:r>
                </w:p>
              </w:tc>
              <w:tc>
                <w:tcPr>
                  <w:tcW w:w="641" w:type="dxa"/>
                  <w:vMerge w:val="continue"/>
                  <w:tcBorders>
                    <w:tl2br w:val="nil"/>
                    <w:tr2bl w:val="nil"/>
                  </w:tcBorders>
                  <w:vAlign w:val="center"/>
                </w:tcPr>
                <w:p>
                  <w:pPr>
                    <w:jc w:val="left"/>
                    <w:rPr>
                      <w:rFonts w:hint="default" w:ascii="Times New Roman" w:hAnsi="Times New Roman" w:cs="Times New Roman"/>
                      <w:color w:val="auto"/>
                      <w:sz w:val="21"/>
                      <w:szCs w:val="21"/>
                    </w:rPr>
                  </w:pPr>
                </w:p>
              </w:tc>
              <w:tc>
                <w:tcPr>
                  <w:tcW w:w="643" w:type="dxa"/>
                  <w:vMerge w:val="continue"/>
                  <w:tcBorders>
                    <w:tl2br w:val="nil"/>
                    <w:tr2bl w:val="nil"/>
                  </w:tcBorders>
                  <w:vAlign w:val="center"/>
                </w:tcPr>
                <w:p>
                  <w:pPr>
                    <w:jc w:val="left"/>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08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扬尘</w:t>
                  </w:r>
                </w:p>
              </w:tc>
              <w:tc>
                <w:tcPr>
                  <w:tcW w:w="4566" w:type="dxa"/>
                  <w:tcBorders>
                    <w:tl2br w:val="nil"/>
                    <w:tr2bl w:val="nil"/>
                  </w:tcBorders>
                  <w:vAlign w:val="center"/>
                </w:tcPr>
                <w:p>
                  <w:pPr>
                    <w:rPr>
                      <w:rFonts w:hint="default" w:ascii="Times New Roman" w:hAnsi="Times New Roman" w:cs="Times New Roman"/>
                      <w:bCs/>
                      <w:color w:val="auto"/>
                      <w:kern w:val="0"/>
                      <w:sz w:val="21"/>
                      <w:szCs w:val="21"/>
                      <w:lang w:val="zh-CN"/>
                    </w:rPr>
                  </w:pPr>
                  <w:r>
                    <w:rPr>
                      <w:rFonts w:hint="default" w:ascii="Times New Roman" w:hAnsi="Times New Roman" w:cs="Times New Roman"/>
                      <w:bCs/>
                      <w:color w:val="auto"/>
                      <w:kern w:val="0"/>
                      <w:sz w:val="21"/>
                      <w:szCs w:val="21"/>
                      <w:lang w:val="zh-CN"/>
                    </w:rPr>
                    <w:t>采取扬尘治理管理措施：</w:t>
                  </w:r>
                </w:p>
                <w:p>
                  <w:pPr>
                    <w:rPr>
                      <w:rFonts w:hint="default" w:ascii="Times New Roman" w:hAnsi="Times New Roman" w:cs="Times New Roman"/>
                      <w:bCs/>
                      <w:color w:val="auto"/>
                      <w:kern w:val="0"/>
                      <w:sz w:val="21"/>
                      <w:szCs w:val="21"/>
                      <w:lang w:val="zh-CN"/>
                    </w:rPr>
                  </w:pPr>
                  <w:r>
                    <w:rPr>
                      <w:rFonts w:hint="default" w:ascii="Times New Roman" w:hAnsi="Times New Roman" w:cs="Times New Roman"/>
                      <w:bCs/>
                      <w:color w:val="auto"/>
                      <w:kern w:val="0"/>
                      <w:sz w:val="21"/>
                      <w:szCs w:val="21"/>
                      <w:lang w:val="zh-CN" w:eastAsia="zh-CN"/>
                    </w:rPr>
                    <w:t>①</w:t>
                  </w:r>
                  <w:r>
                    <w:rPr>
                      <w:rFonts w:hint="default" w:ascii="Times New Roman" w:hAnsi="Times New Roman" w:cs="Times New Roman"/>
                      <w:bCs/>
                      <w:color w:val="auto"/>
                      <w:kern w:val="0"/>
                      <w:sz w:val="21"/>
                      <w:szCs w:val="21"/>
                      <w:lang w:val="zh-CN"/>
                    </w:rPr>
                    <w:t>加强运输车辆的管理，合理安排施工车辆行驶路线，路经居民区集中区域应尽量减缓行驶车速；运输车辆密闭运输，采用篷布遮盖。②</w:t>
                  </w:r>
                  <w:r>
                    <w:rPr>
                      <w:rFonts w:hint="default" w:ascii="Times New Roman" w:hAnsi="Times New Roman" w:cs="Times New Roman"/>
                      <w:bCs/>
                      <w:color w:val="auto"/>
                      <w:kern w:val="0"/>
                      <w:sz w:val="21"/>
                      <w:szCs w:val="21"/>
                      <w:lang w:val="zh-CN" w:eastAsia="zh-CN"/>
                    </w:rPr>
                    <w:t>东滩六村、新村、桥头村部分敏感点紧邻沟道，在敏感点路段施工时，土方开挖、回填过程中安排洒水车，专人定期洒水，减少扬尘对敏感点村民的影响。</w:t>
                  </w:r>
                  <w:r>
                    <w:rPr>
                      <w:rFonts w:hint="default" w:ascii="Times New Roman" w:hAnsi="Times New Roman" w:cs="Times New Roman"/>
                      <w:bCs/>
                      <w:color w:val="auto"/>
                      <w:kern w:val="0"/>
                      <w:sz w:val="21"/>
                      <w:szCs w:val="21"/>
                      <w:lang w:val="zh-CN"/>
                    </w:rPr>
                    <w:t>③</w:t>
                  </w:r>
                  <w:r>
                    <w:rPr>
                      <w:rFonts w:hint="default" w:ascii="Times New Roman" w:hAnsi="Times New Roman" w:cs="Times New Roman"/>
                      <w:bCs/>
                      <w:color w:val="auto"/>
                      <w:kern w:val="0"/>
                      <w:sz w:val="21"/>
                      <w:szCs w:val="21"/>
                      <w:lang w:val="zh-CN" w:eastAsia="zh-CN"/>
                    </w:rPr>
                    <w:t>沟道两侧临时堆放的土方，采用防尘网苫盖，并安排专人定期洒水。</w:t>
                  </w:r>
                  <w:r>
                    <w:rPr>
                      <w:rFonts w:hint="default" w:ascii="Times New Roman" w:hAnsi="Times New Roman" w:cs="Times New Roman"/>
                      <w:bCs/>
                      <w:color w:val="auto"/>
                      <w:kern w:val="0"/>
                      <w:sz w:val="21"/>
                      <w:szCs w:val="21"/>
                      <w:lang w:val="zh-CN"/>
                    </w:rPr>
                    <w:t>④加强施工人员管理，提高人员环境保护意识，做好环境保护措施</w:t>
                  </w:r>
                  <w:r>
                    <w:rPr>
                      <w:rFonts w:hint="default" w:ascii="Times New Roman" w:hAnsi="Times New Roman" w:cs="Times New Roman"/>
                      <w:bCs/>
                      <w:color w:val="auto"/>
                      <w:kern w:val="0"/>
                      <w:sz w:val="21"/>
                      <w:szCs w:val="21"/>
                      <w:lang w:val="zh-CN" w:eastAsia="zh-CN"/>
                    </w:rPr>
                    <w:t>。</w:t>
                  </w:r>
                </w:p>
              </w:tc>
              <w:tc>
                <w:tcPr>
                  <w:tcW w:w="641" w:type="dxa"/>
                  <w:vMerge w:val="continue"/>
                  <w:tcBorders>
                    <w:tl2br w:val="nil"/>
                    <w:tr2bl w:val="nil"/>
                  </w:tcBorders>
                  <w:vAlign w:val="center"/>
                </w:tcPr>
                <w:p>
                  <w:pPr>
                    <w:jc w:val="left"/>
                    <w:rPr>
                      <w:rFonts w:hint="default" w:ascii="Times New Roman" w:hAnsi="Times New Roman" w:cs="Times New Roman"/>
                      <w:color w:val="auto"/>
                      <w:sz w:val="21"/>
                      <w:szCs w:val="21"/>
                    </w:rPr>
                  </w:pPr>
                </w:p>
              </w:tc>
              <w:tc>
                <w:tcPr>
                  <w:tcW w:w="643" w:type="dxa"/>
                  <w:vMerge w:val="continue"/>
                  <w:tcBorders>
                    <w:tl2br w:val="nil"/>
                    <w:tr2bl w:val="nil"/>
                  </w:tcBorders>
                  <w:vAlign w:val="center"/>
                </w:tcPr>
                <w:p>
                  <w:pPr>
                    <w:jc w:val="left"/>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continue"/>
                  <w:tcBorders>
                    <w:tl2br w:val="nil"/>
                    <w:tr2bl w:val="nil"/>
                  </w:tcBorders>
                </w:tcPr>
                <w:p>
                  <w:pPr>
                    <w:jc w:val="left"/>
                    <w:rPr>
                      <w:rFonts w:hint="default" w:ascii="Times New Roman" w:hAnsi="Times New Roman" w:cs="Times New Roman"/>
                      <w:color w:val="auto"/>
                      <w:sz w:val="21"/>
                      <w:szCs w:val="21"/>
                    </w:rPr>
                  </w:pPr>
                </w:p>
              </w:tc>
              <w:tc>
                <w:tcPr>
                  <w:tcW w:w="108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4566" w:type="dxa"/>
                  <w:tcBorders>
                    <w:tl2br w:val="nil"/>
                    <w:tr2bl w:val="nil"/>
                  </w:tcBorders>
                  <w:vAlign w:val="center"/>
                </w:tcPr>
                <w:p>
                  <w:pPr>
                    <w:rPr>
                      <w:rFonts w:hint="default" w:ascii="Times New Roman" w:hAnsi="Times New Roman" w:cs="Times New Roman"/>
                      <w:bCs/>
                      <w:color w:val="auto"/>
                      <w:kern w:val="0"/>
                      <w:sz w:val="21"/>
                      <w:szCs w:val="21"/>
                      <w:lang w:val="zh-CN"/>
                    </w:rPr>
                  </w:pPr>
                  <w:r>
                    <w:rPr>
                      <w:rFonts w:hint="default" w:ascii="Times New Roman" w:hAnsi="Times New Roman" w:cs="Times New Roman"/>
                      <w:bCs/>
                      <w:color w:val="auto"/>
                      <w:kern w:val="0"/>
                      <w:sz w:val="21"/>
                      <w:szCs w:val="21"/>
                      <w:lang w:val="zh-CN"/>
                    </w:rPr>
                    <w:t>施工营地设置</w:t>
                  </w:r>
                  <w:r>
                    <w:rPr>
                      <w:rFonts w:hint="default" w:ascii="Times New Roman" w:hAnsi="Times New Roman" w:cs="Times New Roman"/>
                      <w:bCs/>
                      <w:color w:val="auto"/>
                      <w:kern w:val="0"/>
                      <w:sz w:val="21"/>
                      <w:szCs w:val="21"/>
                    </w:rPr>
                    <w:t>1</w:t>
                  </w:r>
                  <w:r>
                    <w:rPr>
                      <w:rFonts w:hint="default" w:ascii="Times New Roman" w:hAnsi="Times New Roman" w:cs="Times New Roman"/>
                      <w:bCs/>
                      <w:color w:val="auto"/>
                      <w:kern w:val="0"/>
                      <w:sz w:val="21"/>
                      <w:szCs w:val="21"/>
                      <w:lang w:val="zh-CN"/>
                    </w:rPr>
                    <w:t>个垃圾桶收集最终清运至就近垃圾填埋场卫生填埋。</w:t>
                  </w:r>
                </w:p>
              </w:tc>
              <w:tc>
                <w:tcPr>
                  <w:tcW w:w="641" w:type="dxa"/>
                  <w:vMerge w:val="continue"/>
                  <w:tcBorders>
                    <w:tl2br w:val="nil"/>
                    <w:tr2bl w:val="nil"/>
                  </w:tcBorders>
                </w:tcPr>
                <w:p>
                  <w:pPr>
                    <w:jc w:val="left"/>
                    <w:rPr>
                      <w:rFonts w:hint="default" w:ascii="Times New Roman" w:hAnsi="Times New Roman" w:cs="Times New Roman"/>
                      <w:color w:val="auto"/>
                      <w:sz w:val="21"/>
                      <w:szCs w:val="21"/>
                    </w:rPr>
                  </w:pPr>
                </w:p>
              </w:tc>
              <w:tc>
                <w:tcPr>
                  <w:tcW w:w="643" w:type="dxa"/>
                  <w:vMerge w:val="continue"/>
                  <w:tcBorders>
                    <w:tl2br w:val="nil"/>
                    <w:tr2bl w:val="nil"/>
                  </w:tcBorders>
                </w:tcPr>
                <w:p>
                  <w:pPr>
                    <w:jc w:val="left"/>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continue"/>
                  <w:tcBorders>
                    <w:tl2br w:val="nil"/>
                    <w:tr2bl w:val="nil"/>
                  </w:tcBorders>
                </w:tcPr>
                <w:p>
                  <w:pPr>
                    <w:jc w:val="left"/>
                    <w:rPr>
                      <w:rFonts w:hint="default" w:ascii="Times New Roman" w:hAnsi="Times New Roman" w:cs="Times New Roman"/>
                      <w:color w:val="auto"/>
                      <w:sz w:val="21"/>
                      <w:szCs w:val="21"/>
                    </w:rPr>
                  </w:pPr>
                </w:p>
              </w:tc>
              <w:tc>
                <w:tcPr>
                  <w:tcW w:w="108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建筑垃圾</w:t>
                  </w:r>
                </w:p>
              </w:tc>
              <w:tc>
                <w:tcPr>
                  <w:tcW w:w="4566" w:type="dxa"/>
                  <w:tcBorders>
                    <w:tl2br w:val="nil"/>
                    <w:tr2bl w:val="nil"/>
                  </w:tcBorders>
                  <w:vAlign w:val="center"/>
                </w:tcPr>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施工过程中产生的废弃材料必须回收，遗弃的沙石、建材、钢材、包装材料等分类堆放，具有回收利用价值的建筑垃圾，外售给废品回收站，不能回收利用的及时清运至城管部门指定的建筑垃圾处理场。</w:t>
                  </w:r>
                </w:p>
              </w:tc>
              <w:tc>
                <w:tcPr>
                  <w:tcW w:w="641" w:type="dxa"/>
                  <w:vMerge w:val="continue"/>
                  <w:tcBorders>
                    <w:tl2br w:val="nil"/>
                    <w:tr2bl w:val="nil"/>
                  </w:tcBorders>
                </w:tcPr>
                <w:p>
                  <w:pPr>
                    <w:jc w:val="left"/>
                    <w:rPr>
                      <w:rFonts w:hint="default" w:ascii="Times New Roman" w:hAnsi="Times New Roman" w:cs="Times New Roman"/>
                      <w:color w:val="auto"/>
                      <w:sz w:val="21"/>
                      <w:szCs w:val="21"/>
                    </w:rPr>
                  </w:pPr>
                </w:p>
              </w:tc>
              <w:tc>
                <w:tcPr>
                  <w:tcW w:w="643" w:type="dxa"/>
                  <w:vMerge w:val="continue"/>
                  <w:tcBorders>
                    <w:tl2br w:val="nil"/>
                    <w:tr2bl w:val="nil"/>
                  </w:tcBorders>
                </w:tcPr>
                <w:p>
                  <w:pPr>
                    <w:jc w:val="left"/>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3" w:type="dxa"/>
                  <w:vMerge w:val="continue"/>
                  <w:tcBorders>
                    <w:tl2br w:val="nil"/>
                    <w:tr2bl w:val="nil"/>
                  </w:tcBorders>
                </w:tcPr>
                <w:p>
                  <w:pPr>
                    <w:jc w:val="left"/>
                    <w:rPr>
                      <w:rFonts w:hint="default" w:ascii="Times New Roman" w:hAnsi="Times New Roman" w:cs="Times New Roman"/>
                      <w:color w:val="auto"/>
                      <w:sz w:val="21"/>
                      <w:szCs w:val="21"/>
                    </w:rPr>
                  </w:pPr>
                </w:p>
              </w:tc>
              <w:tc>
                <w:tcPr>
                  <w:tcW w:w="108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4566" w:type="dxa"/>
                  <w:tcBorders>
                    <w:tl2br w:val="nil"/>
                    <w:tr2bl w:val="nil"/>
                  </w:tcBorders>
                  <w:vAlign w:val="center"/>
                </w:tcPr>
                <w:p>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w:t>
                  </w:r>
                  <w:r>
                    <w:rPr>
                      <w:rFonts w:hint="default" w:ascii="Times New Roman" w:hAnsi="Times New Roman" w:cs="Times New Roman"/>
                      <w:color w:val="auto"/>
                      <w:sz w:val="21"/>
                      <w:szCs w:val="21"/>
                      <w:lang w:val="en-US" w:eastAsia="zh-CN"/>
                    </w:rPr>
                    <w:t>用的草地</w:t>
                  </w:r>
                  <w:r>
                    <w:rPr>
                      <w:rFonts w:hint="default" w:ascii="Times New Roman" w:hAnsi="Times New Roman" w:cs="Times New Roman"/>
                      <w:color w:val="auto"/>
                      <w:sz w:val="21"/>
                      <w:szCs w:val="21"/>
                    </w:rPr>
                    <w:t>施工期结束后及时恢复植被，撒播草种。</w:t>
                  </w:r>
                </w:p>
              </w:tc>
              <w:tc>
                <w:tcPr>
                  <w:tcW w:w="641" w:type="dxa"/>
                  <w:vMerge w:val="continue"/>
                  <w:tcBorders>
                    <w:tl2br w:val="nil"/>
                    <w:tr2bl w:val="nil"/>
                  </w:tcBorders>
                </w:tcPr>
                <w:p>
                  <w:pPr>
                    <w:jc w:val="left"/>
                    <w:rPr>
                      <w:rFonts w:hint="default" w:ascii="Times New Roman" w:hAnsi="Times New Roman" w:cs="Times New Roman"/>
                      <w:color w:val="auto"/>
                      <w:sz w:val="21"/>
                      <w:szCs w:val="21"/>
                    </w:rPr>
                  </w:pPr>
                </w:p>
              </w:tc>
              <w:tc>
                <w:tcPr>
                  <w:tcW w:w="643" w:type="dxa"/>
                  <w:vMerge w:val="continue"/>
                  <w:tcBorders>
                    <w:tl2br w:val="nil"/>
                    <w:tr2bl w:val="nil"/>
                  </w:tcBorders>
                </w:tcPr>
                <w:p>
                  <w:pPr>
                    <w:jc w:val="left"/>
                    <w:rPr>
                      <w:rFonts w:hint="default" w:ascii="Times New Roman" w:hAnsi="Times New Roman" w:cs="Times New Roman"/>
                      <w:color w:val="auto"/>
                      <w:sz w:val="21"/>
                      <w:szCs w:val="21"/>
                    </w:rPr>
                  </w:pPr>
                </w:p>
              </w:tc>
            </w:tr>
          </w:tbl>
          <w:p>
            <w:pPr>
              <w:adjustRightInd w:val="0"/>
              <w:snapToGrid w:val="0"/>
              <w:spacing w:line="360" w:lineRule="auto"/>
              <w:jc w:val="center"/>
              <w:rPr>
                <w:rFonts w:hint="default" w:ascii="Times New Roman" w:hAnsi="Times New Roman" w:cs="Times New Roman"/>
                <w:bCs/>
                <w:color w:val="auto"/>
                <w:spacing w:val="10"/>
                <w:szCs w:val="21"/>
              </w:rPr>
            </w:pPr>
          </w:p>
        </w:tc>
      </w:tr>
    </w:tbl>
    <w:p>
      <w:pPr>
        <w:adjustRightInd w:val="0"/>
        <w:snapToGrid w:val="0"/>
        <w:spacing w:line="360" w:lineRule="auto"/>
        <w:jc w:val="center"/>
        <w:rPr>
          <w:rFonts w:hint="default" w:ascii="Times New Roman" w:hAnsi="Times New Roman" w:cs="Times New Roman"/>
          <w:b/>
          <w:color w:val="auto"/>
        </w:rPr>
        <w:sectPr>
          <w:pgSz w:w="11907" w:h="16840"/>
          <w:pgMar w:top="1440" w:right="1797" w:bottom="1440" w:left="1797" w:header="851" w:footer="1077" w:gutter="0"/>
          <w:pgNumType w:fmt="numberInDash"/>
          <w:cols w:space="720" w:num="1"/>
          <w:docGrid w:linePitch="312" w:charSpace="0"/>
        </w:sectPr>
      </w:pP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701" w:type="dxa"/>
            <w:vAlign w:val="center"/>
          </w:tcPr>
          <w:p>
            <w:pPr>
              <w:adjustRightInd w:val="0"/>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环</w:t>
            </w:r>
          </w:p>
          <w:p>
            <w:pPr>
              <w:adjustRightInd w:val="0"/>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保</w:t>
            </w:r>
          </w:p>
          <w:p>
            <w:pPr>
              <w:adjustRightInd w:val="0"/>
              <w:snapToGrid w:val="0"/>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投</w:t>
            </w:r>
          </w:p>
          <w:p>
            <w:pPr>
              <w:adjustRightInd w:val="0"/>
              <w:snapToGrid w:val="0"/>
              <w:spacing w:line="360" w:lineRule="auto"/>
              <w:jc w:val="center"/>
              <w:rPr>
                <w:rFonts w:hint="default" w:ascii="Times New Roman" w:hAnsi="Times New Roman" w:cs="Times New Roman"/>
                <w:b/>
                <w:color w:val="auto"/>
                <w:spacing w:val="10"/>
              </w:rPr>
            </w:pPr>
            <w:r>
              <w:rPr>
                <w:rFonts w:hint="default" w:ascii="Times New Roman" w:hAnsi="Times New Roman" w:cs="Times New Roman"/>
                <w:b/>
                <w:color w:val="auto"/>
              </w:rPr>
              <w:t>资</w:t>
            </w:r>
          </w:p>
        </w:tc>
        <w:tc>
          <w:tcPr>
            <w:tcW w:w="7803" w:type="dxa"/>
          </w:tcPr>
          <w:p>
            <w:pPr>
              <w:adjustRightInd w:val="0"/>
              <w:snapToGrid w:val="0"/>
              <w:spacing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本工程建设总投资</w:t>
            </w:r>
            <w:r>
              <w:rPr>
                <w:rFonts w:hint="default" w:ascii="Times New Roman" w:hAnsi="Times New Roman" w:cs="Times New Roman"/>
                <w:color w:val="auto"/>
                <w:lang w:val="en-US" w:eastAsia="zh-CN"/>
              </w:rPr>
              <w:t>1792</w:t>
            </w:r>
            <w:r>
              <w:rPr>
                <w:rFonts w:hint="default" w:ascii="Times New Roman" w:hAnsi="Times New Roman" w:cs="Times New Roman"/>
                <w:color w:val="auto"/>
              </w:rPr>
              <w:t>万元，环保投资</w:t>
            </w:r>
            <w:r>
              <w:rPr>
                <w:rFonts w:hint="default" w:ascii="Times New Roman" w:hAnsi="Times New Roman" w:cs="Times New Roman"/>
                <w:color w:val="auto"/>
                <w:lang w:val="en-US" w:eastAsia="zh-CN"/>
              </w:rPr>
              <w:t>9.0</w:t>
            </w:r>
            <w:r>
              <w:rPr>
                <w:rFonts w:hint="default" w:ascii="Times New Roman" w:hAnsi="Times New Roman" w:cs="Times New Roman"/>
                <w:color w:val="auto"/>
              </w:rPr>
              <w:t>万元，占总投资的</w:t>
            </w:r>
            <w:r>
              <w:rPr>
                <w:rFonts w:hint="default" w:ascii="Times New Roman" w:hAnsi="Times New Roman" w:cs="Times New Roman"/>
                <w:color w:val="auto"/>
                <w:lang w:val="en-US" w:eastAsia="zh-CN"/>
              </w:rPr>
              <w:t>0.5</w:t>
            </w:r>
            <w:r>
              <w:rPr>
                <w:rFonts w:hint="default" w:ascii="Times New Roman" w:hAnsi="Times New Roman" w:cs="Times New Roman"/>
                <w:color w:val="auto"/>
              </w:rPr>
              <w:t>%，环保投资概算如下表所示。</w:t>
            </w:r>
          </w:p>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表5-2  本工程环保投资概算一览表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705"/>
              <w:gridCol w:w="711"/>
              <w:gridCol w:w="995"/>
              <w:gridCol w:w="3458"/>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4" w:type="pct"/>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44" w:type="pct"/>
                  <w:gridSpan w:val="2"/>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663" w:type="pct"/>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工段</w:t>
                  </w:r>
                </w:p>
              </w:tc>
              <w:tc>
                <w:tcPr>
                  <w:tcW w:w="2304" w:type="pct"/>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措施</w:t>
                  </w:r>
                </w:p>
              </w:tc>
              <w:tc>
                <w:tcPr>
                  <w:tcW w:w="733" w:type="pct"/>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费用估算（万元）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70" w:type="pct"/>
                  <w:vMerge w:val="restar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生态措施</w:t>
                  </w:r>
                </w:p>
              </w:tc>
              <w:tc>
                <w:tcPr>
                  <w:tcW w:w="47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陆生生态保护</w:t>
                  </w:r>
                </w:p>
              </w:tc>
              <w:tc>
                <w:tcPr>
                  <w:tcW w:w="2968" w:type="pct"/>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临时</w:t>
                  </w:r>
                  <w:r>
                    <w:rPr>
                      <w:rFonts w:hint="default" w:ascii="Times New Roman" w:hAnsi="Times New Roman" w:cs="Times New Roman"/>
                      <w:bCs/>
                      <w:color w:val="auto"/>
                      <w:sz w:val="21"/>
                      <w:szCs w:val="21"/>
                      <w:lang w:val="en-US" w:eastAsia="zh-CN"/>
                    </w:rPr>
                    <w:t>占用的草地（0.09hm</w:t>
                  </w:r>
                  <w:r>
                    <w:rPr>
                      <w:rFonts w:hint="default" w:ascii="Times New Roman" w:hAnsi="Times New Roman" w:cs="Times New Roman"/>
                      <w:bCs/>
                      <w:color w:val="auto"/>
                      <w:sz w:val="21"/>
                      <w:szCs w:val="21"/>
                      <w:vertAlign w:val="superscript"/>
                      <w:lang w:val="en-US" w:eastAsia="zh-CN"/>
                    </w:rPr>
                    <w:t>2</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在施工结束后播撒蒿类、蒲公英、苣荬菜、芨芨草、披碱草等当地草种</w:t>
                  </w:r>
                  <w:r>
                    <w:rPr>
                      <w:rFonts w:hint="default" w:ascii="Times New Roman" w:hAnsi="Times New Roman" w:cs="Times New Roman"/>
                      <w:color w:val="auto"/>
                      <w:sz w:val="21"/>
                      <w:szCs w:val="21"/>
                    </w:rPr>
                    <w:t>，恢复植被</w:t>
                  </w:r>
                </w:p>
              </w:tc>
              <w:tc>
                <w:tcPr>
                  <w:tcW w:w="733" w:type="pc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70" w:type="pct"/>
                  <w:vMerge w:val="continue"/>
                  <w:vAlign w:val="center"/>
                </w:tcPr>
                <w:p>
                  <w:pPr>
                    <w:adjustRightInd w:val="0"/>
                    <w:snapToGrid w:val="0"/>
                    <w:jc w:val="center"/>
                    <w:rPr>
                      <w:rFonts w:hint="default" w:ascii="Times New Roman" w:hAnsi="Times New Roman" w:cs="Times New Roman"/>
                      <w:color w:val="auto"/>
                      <w:sz w:val="21"/>
                      <w:szCs w:val="21"/>
                    </w:rPr>
                  </w:pPr>
                </w:p>
              </w:tc>
              <w:tc>
                <w:tcPr>
                  <w:tcW w:w="47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水环境保护</w:t>
                  </w:r>
                </w:p>
              </w:tc>
              <w:tc>
                <w:tcPr>
                  <w:tcW w:w="2968" w:type="pct"/>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施工工区</w:t>
                  </w:r>
                  <w:r>
                    <w:rPr>
                      <w:rFonts w:hint="default" w:ascii="Times New Roman" w:hAnsi="Times New Roman" w:cs="Times New Roman"/>
                      <w:color w:val="auto"/>
                      <w:sz w:val="21"/>
                      <w:szCs w:val="21"/>
                      <w:lang w:val="en-US" w:eastAsia="zh-CN"/>
                    </w:rPr>
                    <w:t>设置1</w:t>
                  </w:r>
                  <w:r>
                    <w:rPr>
                      <w:rFonts w:hint="default" w:ascii="Times New Roman" w:hAnsi="Times New Roman" w:cs="Times New Roman"/>
                      <w:color w:val="auto"/>
                      <w:sz w:val="21"/>
                      <w:szCs w:val="21"/>
                    </w:rPr>
                    <w:t>个移动式钢化沉淀池，施工营地设置1处防渗旱厕</w:t>
                  </w:r>
                </w:p>
              </w:tc>
              <w:tc>
                <w:tcPr>
                  <w:tcW w:w="733" w:type="pc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70" w:type="pct"/>
                  <w:vMerge w:val="continue"/>
                  <w:vAlign w:val="center"/>
                </w:tcPr>
                <w:p>
                  <w:pPr>
                    <w:adjustRightInd w:val="0"/>
                    <w:snapToGrid w:val="0"/>
                    <w:jc w:val="center"/>
                    <w:rPr>
                      <w:rFonts w:hint="default" w:ascii="Times New Roman" w:hAnsi="Times New Roman" w:cs="Times New Roman"/>
                      <w:color w:val="auto"/>
                      <w:sz w:val="21"/>
                      <w:szCs w:val="21"/>
                    </w:rPr>
                  </w:pPr>
                </w:p>
              </w:tc>
              <w:tc>
                <w:tcPr>
                  <w:tcW w:w="47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声环境保护</w:t>
                  </w:r>
                </w:p>
              </w:tc>
              <w:tc>
                <w:tcPr>
                  <w:tcW w:w="2968" w:type="pct"/>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采用低噪声机械设备和工艺；机械设备定期维护保养；及时修理和改进施工机械；高噪声机械设置减振机座；在敏感点附近施工时，设置临时声屏障</w:t>
                  </w:r>
                </w:p>
              </w:tc>
              <w:tc>
                <w:tcPr>
                  <w:tcW w:w="733" w:type="pc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354" w:type="pct"/>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70" w:type="pct"/>
                  <w:vMerge w:val="continue"/>
                  <w:vAlign w:val="center"/>
                </w:tcPr>
                <w:p>
                  <w:pPr>
                    <w:adjustRightInd w:val="0"/>
                    <w:snapToGrid w:val="0"/>
                    <w:jc w:val="center"/>
                    <w:rPr>
                      <w:rFonts w:hint="default" w:ascii="Times New Roman" w:hAnsi="Times New Roman" w:cs="Times New Roman"/>
                      <w:color w:val="auto"/>
                      <w:sz w:val="21"/>
                      <w:szCs w:val="21"/>
                    </w:rPr>
                  </w:pPr>
                </w:p>
              </w:tc>
              <w:tc>
                <w:tcPr>
                  <w:tcW w:w="474"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环境空气保护</w:t>
                  </w:r>
                </w:p>
              </w:tc>
              <w:tc>
                <w:tcPr>
                  <w:tcW w:w="2968" w:type="pct"/>
                  <w:gridSpan w:val="2"/>
                  <w:vAlign w:val="center"/>
                </w:tcPr>
                <w:p>
                  <w:pPr>
                    <w:adjustRightInd w:val="0"/>
                    <w:snapToGrid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管沟开挖：洒水降尘</w:t>
                  </w:r>
                </w:p>
                <w:p>
                  <w:pPr>
                    <w:adjustRightInd w:val="0"/>
                    <w:snapToGrid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土方堆放：防尘网苫盖、洒水降尘</w:t>
                  </w:r>
                </w:p>
                <w:p>
                  <w:pPr>
                    <w:adjustRightInd w:val="0"/>
                    <w:snapToGrid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土方回填：洒水降尘</w:t>
                  </w:r>
                </w:p>
                <w:p>
                  <w:p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车辆运输：篷布遮盖</w:t>
                  </w:r>
                </w:p>
              </w:tc>
              <w:tc>
                <w:tcPr>
                  <w:tcW w:w="733" w:type="pct"/>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4" w:type="pct"/>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470" w:type="pct"/>
                  <w:vMerge w:val="continue"/>
                  <w:vAlign w:val="center"/>
                </w:tcPr>
                <w:p>
                  <w:pPr>
                    <w:adjustRightInd w:val="0"/>
                    <w:snapToGrid w:val="0"/>
                    <w:jc w:val="center"/>
                    <w:rPr>
                      <w:rFonts w:hint="default" w:ascii="Times New Roman" w:hAnsi="Times New Roman" w:cs="Times New Roman"/>
                      <w:color w:val="auto"/>
                      <w:sz w:val="21"/>
                      <w:szCs w:val="21"/>
                    </w:rPr>
                  </w:pPr>
                </w:p>
              </w:tc>
              <w:tc>
                <w:tcPr>
                  <w:tcW w:w="474" w:type="pct"/>
                  <w:vAlign w:val="center"/>
                </w:tcPr>
                <w:p>
                  <w:pPr>
                    <w:adjustRightInd w:val="0"/>
                    <w:snapToGrid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663" w:type="pct"/>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全工段</w:t>
                  </w:r>
                </w:p>
              </w:tc>
              <w:tc>
                <w:tcPr>
                  <w:tcW w:w="2304" w:type="pct"/>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生活垃圾收集箱（1个）；不能回收利用的建筑垃圾清运至城管部门指定的建筑垃圾处理场</w:t>
                  </w:r>
                </w:p>
              </w:tc>
              <w:tc>
                <w:tcPr>
                  <w:tcW w:w="733" w:type="pct"/>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6" w:type="pct"/>
                  <w:gridSpan w:val="5"/>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733"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.0</w:t>
                  </w:r>
                </w:p>
              </w:tc>
            </w:tr>
          </w:tbl>
          <w:p>
            <w:pPr>
              <w:adjustRightInd w:val="0"/>
              <w:snapToGrid w:val="0"/>
              <w:spacing w:line="360" w:lineRule="auto"/>
              <w:rPr>
                <w:rFonts w:hint="default" w:ascii="Times New Roman" w:hAnsi="Times New Roman" w:cs="Times New Roman"/>
                <w:color w:val="auto"/>
              </w:rPr>
            </w:pPr>
          </w:p>
        </w:tc>
      </w:tr>
    </w:tbl>
    <w:p>
      <w:pPr>
        <w:rPr>
          <w:rFonts w:hint="default" w:ascii="Times New Roman" w:hAnsi="Times New Roman" w:cs="Times New Roman"/>
          <w:color w:val="auto"/>
        </w:rPr>
        <w:sectPr>
          <w:footerReference r:id="rId7" w:type="default"/>
          <w:pgSz w:w="11907" w:h="16840"/>
          <w:pgMar w:top="1440" w:right="1797" w:bottom="1440" w:left="1797" w:header="851" w:footer="1077" w:gutter="0"/>
          <w:pgNumType w:fmt="numberInDash"/>
          <w:cols w:space="720" w:num="1"/>
          <w:docGrid w:linePitch="312" w:charSpace="0"/>
        </w:sectPr>
      </w:pPr>
    </w:p>
    <w:p>
      <w:pPr>
        <w:pStyle w:val="19"/>
        <w:tabs>
          <w:tab w:val="center" w:pos="4153"/>
          <w:tab w:val="left" w:pos="7062"/>
        </w:tabs>
        <w:jc w:val="center"/>
        <w:outlineLvl w:val="0"/>
        <w:rPr>
          <w:rFonts w:hint="default" w:ascii="Times New Roman" w:hAnsi="Times New Roman" w:eastAsia="黑体" w:cs="Times New Roman"/>
          <w:b/>
          <w:bCs/>
          <w:snapToGrid w:val="0"/>
          <w:color w:val="auto"/>
          <w:sz w:val="30"/>
          <w:szCs w:val="30"/>
        </w:rPr>
      </w:pPr>
      <w:bookmarkStart w:id="21" w:name="_Toc69334654"/>
      <w:r>
        <w:rPr>
          <w:rFonts w:hint="default" w:ascii="Times New Roman" w:hAnsi="Times New Roman" w:eastAsia="黑体" w:cs="Times New Roman"/>
          <w:b/>
          <w:bCs/>
          <w:snapToGrid w:val="0"/>
          <w:color w:val="auto"/>
          <w:sz w:val="30"/>
          <w:szCs w:val="30"/>
        </w:rPr>
        <w:t>六、生态环境保护措施监督检查清单</w:t>
      </w:r>
      <w:bookmarkEnd w:id="21"/>
    </w:p>
    <w:tbl>
      <w:tblPr>
        <w:tblStyle w:val="23"/>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4476"/>
        <w:gridCol w:w="1321"/>
        <w:gridCol w:w="101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Merge w:val="restart"/>
          </w:tcPr>
          <w:p>
            <w:pPr>
              <w:pStyle w:val="19"/>
              <w:adjustRightInd w:val="0"/>
              <w:snapToGrid w:val="0"/>
              <w:spacing w:beforeLines="30" w:beforeAutospacing="0" w:after="0" w:afterAutospacing="0"/>
              <w:jc w:val="right"/>
              <w:outlineLvl w:val="0"/>
              <w:rPr>
                <w:rFonts w:hint="default" w:ascii="Times New Roman" w:hAnsi="Times New Roman" w:cs="Times New Roman"/>
                <w:b/>
                <w:bCs/>
                <w:color w:val="auto"/>
                <w:kern w:val="2"/>
                <w:sz w:val="21"/>
                <w:szCs w:val="21"/>
              </w:rPr>
            </w:pPr>
            <w:r>
              <w:rPr>
                <w:rFonts w:hint="default" w:ascii="Times New Roman" w:hAnsi="Times New Roman" w:cs="Times New Roman"/>
                <w:color w:val="auto"/>
                <w:sz w:val="21"/>
                <w:szCs w:val="21"/>
              </w:rPr>
              <w:pict>
                <v:line id="_x0000_s1060" o:spid="_x0000_s1060" o:spt="20" style="position:absolute;left:0pt;margin-left:-5.15pt;margin-top:0.35pt;height:68.05pt;width:38.3pt;z-index:251663360;mso-width-relative:page;mso-height-relative:page;" coordsize="21600,21600">
                  <v:path arrowok="t"/>
                  <v:fill focussize="0,0"/>
                  <v:stroke weight="0.5pt"/>
                  <v:imagedata o:title=""/>
                  <o:lock v:ext="edit"/>
                </v:line>
              </w:pict>
            </w:r>
            <w:bookmarkStart w:id="22" w:name="_Toc69334655"/>
            <w:r>
              <w:rPr>
                <w:rFonts w:hint="default" w:ascii="Times New Roman" w:hAnsi="Times New Roman" w:cs="Times New Roman"/>
                <w:b/>
                <w:bCs/>
                <w:color w:val="auto"/>
                <w:kern w:val="2"/>
                <w:sz w:val="21"/>
                <w:szCs w:val="21"/>
              </w:rPr>
              <w:t>内容</w:t>
            </w:r>
            <w:bookmarkEnd w:id="22"/>
          </w:p>
          <w:p>
            <w:pPr>
              <w:pStyle w:val="19"/>
              <w:adjustRightInd w:val="0"/>
              <w:snapToGrid w:val="0"/>
              <w:spacing w:beforeLines="30" w:beforeAutospacing="0" w:after="0" w:afterAutospacing="0"/>
              <w:jc w:val="center"/>
              <w:outlineLvl w:val="0"/>
              <w:rPr>
                <w:rFonts w:hint="default" w:ascii="Times New Roman" w:hAnsi="Times New Roman" w:cs="Times New Roman"/>
                <w:b/>
                <w:bCs/>
                <w:color w:val="auto"/>
                <w:kern w:val="2"/>
                <w:sz w:val="21"/>
                <w:szCs w:val="21"/>
              </w:rPr>
            </w:pPr>
          </w:p>
          <w:p>
            <w:pPr>
              <w:pStyle w:val="19"/>
              <w:adjustRightInd w:val="0"/>
              <w:snapToGrid w:val="0"/>
              <w:spacing w:before="0" w:beforeAutospacing="0" w:after="0" w:afterAutospacing="0"/>
              <w:outlineLvl w:val="0"/>
              <w:rPr>
                <w:rFonts w:hint="default" w:ascii="Times New Roman" w:hAnsi="Times New Roman" w:cs="Times New Roman"/>
                <w:b/>
                <w:bCs/>
                <w:color w:val="auto"/>
                <w:kern w:val="2"/>
                <w:sz w:val="21"/>
                <w:szCs w:val="21"/>
              </w:rPr>
            </w:pPr>
          </w:p>
          <w:p>
            <w:pPr>
              <w:pStyle w:val="19"/>
              <w:adjustRightInd w:val="0"/>
              <w:snapToGrid w:val="0"/>
              <w:spacing w:before="0" w:beforeAutospacing="0" w:after="0" w:afterAutospacing="0"/>
              <w:outlineLvl w:val="0"/>
              <w:rPr>
                <w:rFonts w:hint="default" w:ascii="Times New Roman" w:hAnsi="Times New Roman" w:cs="Times New Roman"/>
                <w:b/>
                <w:bCs/>
                <w:color w:val="auto"/>
                <w:kern w:val="2"/>
                <w:sz w:val="21"/>
                <w:szCs w:val="21"/>
              </w:rPr>
            </w:pPr>
            <w:bookmarkStart w:id="23" w:name="_Toc69334656"/>
            <w:r>
              <w:rPr>
                <w:rFonts w:hint="default" w:ascii="Times New Roman" w:hAnsi="Times New Roman" w:cs="Times New Roman"/>
                <w:b/>
                <w:bCs/>
                <w:color w:val="auto"/>
                <w:kern w:val="2"/>
                <w:sz w:val="21"/>
                <w:szCs w:val="21"/>
              </w:rPr>
              <w:t>要素</w:t>
            </w:r>
            <w:bookmarkEnd w:id="23"/>
          </w:p>
        </w:tc>
        <w:tc>
          <w:tcPr>
            <w:tcW w:w="3408" w:type="pct"/>
            <w:gridSpan w:val="2"/>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4" w:name="_Toc69334657"/>
            <w:r>
              <w:rPr>
                <w:rFonts w:hint="default" w:ascii="Times New Roman" w:hAnsi="Times New Roman" w:cs="Times New Roman"/>
                <w:b/>
                <w:bCs/>
                <w:color w:val="auto"/>
                <w:kern w:val="2"/>
                <w:sz w:val="21"/>
                <w:szCs w:val="21"/>
              </w:rPr>
              <w:t>施工期</w:t>
            </w:r>
            <w:bookmarkEnd w:id="24"/>
          </w:p>
        </w:tc>
        <w:tc>
          <w:tcPr>
            <w:tcW w:w="1115" w:type="pct"/>
            <w:gridSpan w:val="2"/>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5" w:name="_Toc69334658"/>
            <w:r>
              <w:rPr>
                <w:rFonts w:hint="default" w:ascii="Times New Roman" w:hAnsi="Times New Roman" w:cs="Times New Roman"/>
                <w:b/>
                <w:bCs/>
                <w:color w:val="auto"/>
                <w:kern w:val="2"/>
                <w:sz w:val="21"/>
                <w:szCs w:val="21"/>
              </w:rPr>
              <w:t>运营期</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Merge w:val="continue"/>
          </w:tcPr>
          <w:p>
            <w:pPr>
              <w:pStyle w:val="19"/>
              <w:adjustRightInd w:val="0"/>
              <w:snapToGrid w:val="0"/>
              <w:spacing w:before="0" w:beforeAutospacing="0" w:after="0" w:afterAutospacing="0"/>
              <w:ind w:firstLine="840"/>
              <w:jc w:val="center"/>
              <w:outlineLvl w:val="0"/>
              <w:rPr>
                <w:rFonts w:hint="default" w:ascii="Times New Roman" w:hAnsi="Times New Roman" w:cs="Times New Roman"/>
                <w:b/>
                <w:bCs/>
                <w:color w:val="auto"/>
                <w:kern w:val="2"/>
                <w:sz w:val="21"/>
                <w:szCs w:val="21"/>
              </w:rPr>
            </w:pPr>
          </w:p>
        </w:tc>
        <w:tc>
          <w:tcPr>
            <w:tcW w:w="2631" w:type="pct"/>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6" w:name="_Toc69334659"/>
            <w:r>
              <w:rPr>
                <w:rFonts w:hint="default" w:ascii="Times New Roman" w:hAnsi="Times New Roman" w:cs="Times New Roman"/>
                <w:b/>
                <w:bCs/>
                <w:color w:val="auto"/>
                <w:kern w:val="2"/>
                <w:sz w:val="21"/>
                <w:szCs w:val="21"/>
              </w:rPr>
              <w:t>环境保护措施</w:t>
            </w:r>
            <w:bookmarkEnd w:id="26"/>
          </w:p>
        </w:tc>
        <w:tc>
          <w:tcPr>
            <w:tcW w:w="777" w:type="pct"/>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7" w:name="_Toc69334660"/>
            <w:r>
              <w:rPr>
                <w:rFonts w:hint="default" w:ascii="Times New Roman" w:hAnsi="Times New Roman" w:cs="Times New Roman"/>
                <w:b/>
                <w:bCs/>
                <w:color w:val="auto"/>
                <w:kern w:val="2"/>
                <w:sz w:val="21"/>
                <w:szCs w:val="21"/>
              </w:rPr>
              <w:t>验收要求</w:t>
            </w:r>
            <w:bookmarkEnd w:id="27"/>
          </w:p>
        </w:tc>
        <w:tc>
          <w:tcPr>
            <w:tcW w:w="596" w:type="pct"/>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8" w:name="_Toc69334661"/>
            <w:r>
              <w:rPr>
                <w:rFonts w:hint="default" w:ascii="Times New Roman" w:hAnsi="Times New Roman" w:cs="Times New Roman"/>
                <w:b/>
                <w:bCs/>
                <w:color w:val="auto"/>
                <w:kern w:val="2"/>
                <w:sz w:val="21"/>
                <w:szCs w:val="21"/>
              </w:rPr>
              <w:t>环境保护措施</w:t>
            </w:r>
            <w:bookmarkEnd w:id="28"/>
          </w:p>
        </w:tc>
        <w:tc>
          <w:tcPr>
            <w:tcW w:w="519" w:type="pct"/>
            <w:vAlign w:val="center"/>
          </w:tcPr>
          <w:p>
            <w:pPr>
              <w:pStyle w:val="19"/>
              <w:adjustRightInd w:val="0"/>
              <w:snapToGrid w:val="0"/>
              <w:spacing w:before="0" w:beforeAutospacing="0" w:after="0" w:afterAutospacing="0"/>
              <w:jc w:val="center"/>
              <w:outlineLvl w:val="0"/>
              <w:rPr>
                <w:rFonts w:hint="default" w:ascii="Times New Roman" w:hAnsi="Times New Roman" w:cs="Times New Roman"/>
                <w:b/>
                <w:bCs/>
                <w:color w:val="auto"/>
                <w:kern w:val="2"/>
                <w:sz w:val="21"/>
                <w:szCs w:val="21"/>
              </w:rPr>
            </w:pPr>
            <w:bookmarkStart w:id="29" w:name="_Toc69334662"/>
            <w:r>
              <w:rPr>
                <w:rFonts w:hint="default" w:ascii="Times New Roman" w:hAnsi="Times New Roman" w:cs="Times New Roman"/>
                <w:b/>
                <w:bCs/>
                <w:color w:val="auto"/>
                <w:kern w:val="2"/>
                <w:sz w:val="21"/>
                <w:szCs w:val="21"/>
              </w:rPr>
              <w:t>验收要求</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陆生生态</w:t>
            </w:r>
          </w:p>
        </w:tc>
        <w:tc>
          <w:tcPr>
            <w:tcW w:w="2631" w:type="pct"/>
            <w:vAlign w:val="center"/>
          </w:tcPr>
          <w:p>
            <w:pPr>
              <w:pBdr>
                <w:bottom w:val="single" w:color="auto" w:sz="6" w:space="1"/>
              </w:pBdr>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（1）施工区生态影响防治措施</w:t>
            </w:r>
          </w:p>
          <w:p>
            <w:pPr>
              <w:pBdr>
                <w:bottom w:val="single" w:color="auto" w:sz="6" w:space="1"/>
              </w:pBdr>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工程施工道路利用现有村道和田间道路，本工程不设专门的临时道路，减少临时占地面积，减少对项目区内植被的影响；②基础开挖时严格控制施工作业带，控制临时土方堆放的宽度，严格按照分段开挖、分段修筑、分段回填的方式进行，严禁一次性大面积开挖，施工完成后及时进行土方回填，严禁土方长时间占压草地；③为避免施工人员对植被和土壤的影响和破坏，在做好施工组织设计的同时，划定工程占地范围，扰动范围应控制在5.0m范围内。在施工区设置警示牌，标明施工活动区，严禁超范围开挖和进入非施工区活动。④设置的2处施工工区占地面积0.06hm²，不得随意扩大，施工期堆放车辆、建筑材料等，不用的材料采用防尘网苫盖，施工结束后，清理施工工区内遗留的垃圾，恢复临时占地0.06hm²；1#施工工区占地为空地，施工结束后将场地清理干净，场地压实整平，确保无建筑材料、施工废料等的堆放，恢复原貌；2#施工工区占地为其他草地，施工结束后，先对场地建筑材料、废料等清理干净，后播撒蒿类、蒲公英、苣荬菜、芨芨草、披碱草等当地草种，恢复原有植被。</w:t>
            </w:r>
          </w:p>
          <w:p>
            <w:pPr>
              <w:pBdr>
                <w:bottom w:val="single" w:color="auto" w:sz="6" w:space="1"/>
              </w:pBdr>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（2）施工营地生态影响防治措施</w:t>
            </w:r>
          </w:p>
          <w:p>
            <w:pPr>
              <w:pBdr>
                <w:bottom w:val="single" w:color="auto" w:sz="6" w:space="1"/>
              </w:pBdr>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施工营地设置1个垃圾桶，集中收集生活垃圾，避免对施工营地周围环境造成污染。收集的垃圾由当地环卫部门定期清运。②施工结束后清理营地内遗留的垃圾，恢复临时占地0.02hm²，占压破坏的草地在施工结束后播撒蒿类、蒲公英、苣荬菜、芨芨草、披碱草等当地草种，恢复原有植被。</w:t>
            </w:r>
          </w:p>
        </w:tc>
        <w:tc>
          <w:tcPr>
            <w:tcW w:w="777" w:type="pct"/>
            <w:vAlign w:val="center"/>
          </w:tcPr>
          <w:p>
            <w:pPr>
              <w:numPr>
                <w:ilvl w:val="0"/>
                <w:numId w:val="0"/>
              </w:numPr>
              <w:adjustRightInd w:val="0"/>
              <w:snapToGrid w:val="0"/>
              <w:rPr>
                <w:rFonts w:hint="default" w:ascii="Times New Roman" w:hAnsi="Times New Roman" w:cs="Times New Roman"/>
                <w:color w:val="auto"/>
                <w:sz w:val="21"/>
                <w:szCs w:val="21"/>
                <w:lang w:val="en-US"/>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cs="Times New Roman"/>
                <w:color w:val="auto"/>
                <w:sz w:val="21"/>
                <w:szCs w:val="21"/>
                <w:lang w:val="en-US" w:eastAsia="zh-CN"/>
              </w:rPr>
              <w:t>1#施工工区内无建筑垃圾，场地平整；2#施工工区内无建筑垃圾，场地整平且播撒草籽确保其成活率。沟道沿线无建筑垃圾。</w:t>
            </w:r>
          </w:p>
          <w:p>
            <w:pPr>
              <w:numPr>
                <w:ilvl w:val="0"/>
                <w:numId w:val="0"/>
              </w:numPr>
              <w:adjustRightInd w:val="0"/>
              <w:snapToGrid w:val="0"/>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施工营地</w:t>
            </w:r>
            <w:r>
              <w:rPr>
                <w:rFonts w:hint="default" w:ascii="Times New Roman" w:hAnsi="Times New Roman" w:cs="Times New Roman"/>
                <w:color w:val="auto"/>
                <w:sz w:val="21"/>
                <w:szCs w:val="21"/>
              </w:rPr>
              <w:t>内无建筑垃圾及生活垃圾遗留</w:t>
            </w:r>
            <w:r>
              <w:rPr>
                <w:rFonts w:hint="eastAsia" w:cs="Times New Roman"/>
                <w:color w:val="auto"/>
                <w:sz w:val="21"/>
                <w:szCs w:val="21"/>
                <w:lang w:eastAsia="zh-CN"/>
              </w:rPr>
              <w:t>，</w:t>
            </w:r>
            <w:r>
              <w:rPr>
                <w:rFonts w:hint="eastAsia" w:cs="Times New Roman"/>
                <w:color w:val="auto"/>
                <w:sz w:val="21"/>
                <w:szCs w:val="21"/>
                <w:lang w:val="en-US" w:eastAsia="zh-CN"/>
              </w:rPr>
              <w:t>场地整平且播撒草籽确保其成活率</w:t>
            </w:r>
            <w:r>
              <w:rPr>
                <w:rFonts w:hint="default" w:ascii="Times New Roman" w:hAnsi="Times New Roman" w:cs="Times New Roman"/>
                <w:color w:val="auto"/>
                <w:sz w:val="21"/>
                <w:szCs w:val="21"/>
              </w:rPr>
              <w:t>。</w:t>
            </w:r>
          </w:p>
        </w:tc>
        <w:tc>
          <w:tcPr>
            <w:tcW w:w="596"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对播撒草籽的临时占地进行人工抚育恢复，确保与周边环境植被覆盖度一致。</w:t>
            </w:r>
          </w:p>
        </w:tc>
        <w:tc>
          <w:tcPr>
            <w:tcW w:w="519"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草地区域植被覆盖度不低于</w:t>
            </w:r>
            <w:r>
              <w:rPr>
                <w:rFonts w:hint="eastAsia" w:cs="Times New Roman"/>
                <w:color w:val="auto"/>
                <w:sz w:val="21"/>
                <w:szCs w:val="21"/>
                <w:lang w:val="en-US" w:eastAsia="zh-CN"/>
              </w:rPr>
              <w:t>15</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水生生态</w:t>
            </w:r>
          </w:p>
        </w:tc>
        <w:tc>
          <w:tcPr>
            <w:tcW w:w="2631" w:type="pct"/>
            <w:vAlign w:val="center"/>
          </w:tcPr>
          <w:p>
            <w:pPr>
              <w:adjustRightInd w:val="0"/>
              <w:snapToGrid w:val="0"/>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lang w:val="en-US" w:eastAsia="zh-CN"/>
              </w:rPr>
              <w:t>沟道治理终点距离黄河入河口20m处，故建设导流墙时无涉水工程，不影响黄河水质，</w:t>
            </w:r>
            <w:r>
              <w:rPr>
                <w:rFonts w:hint="default" w:ascii="Times New Roman" w:hAnsi="Times New Roman" w:cs="Times New Roman"/>
                <w:color w:val="auto"/>
                <w:sz w:val="21"/>
                <w:szCs w:val="21"/>
                <w:lang w:val="en-US" w:eastAsia="zh-CN"/>
              </w:rPr>
              <w:t>不会对水生生态产生影响。</w:t>
            </w:r>
            <w:r>
              <w:rPr>
                <w:rFonts w:hint="eastAsia" w:ascii="Times New Roman" w:hAnsi="Times New Roman" w:cs="Times New Roman"/>
                <w:color w:val="auto"/>
                <w:sz w:val="21"/>
                <w:szCs w:val="21"/>
                <w:lang w:val="en-US" w:eastAsia="zh-CN"/>
              </w:rPr>
              <w:t>环评要求</w:t>
            </w:r>
            <w:r>
              <w:rPr>
                <w:rFonts w:hint="default" w:ascii="Times New Roman" w:hAnsi="Times New Roman" w:cs="Times New Roman"/>
                <w:color w:val="auto"/>
                <w:sz w:val="21"/>
                <w:szCs w:val="21"/>
              </w:rPr>
              <w:t>施工结束后产生的混凝土弃渣等固废</w:t>
            </w:r>
            <w:r>
              <w:rPr>
                <w:rFonts w:hint="eastAsia" w:ascii="Times New Roman" w:hAnsi="Times New Roman" w:cs="Times New Roman"/>
                <w:color w:val="auto"/>
                <w:sz w:val="21"/>
                <w:szCs w:val="21"/>
                <w:lang w:val="en-US" w:eastAsia="zh-CN"/>
              </w:rPr>
              <w:t>严禁</w:t>
            </w:r>
            <w:r>
              <w:rPr>
                <w:rFonts w:hint="default" w:ascii="Times New Roman" w:hAnsi="Times New Roman" w:cs="Times New Roman"/>
                <w:color w:val="auto"/>
                <w:sz w:val="21"/>
                <w:szCs w:val="21"/>
              </w:rPr>
              <w:t>倾倒在</w:t>
            </w:r>
            <w:r>
              <w:rPr>
                <w:rFonts w:hint="default" w:ascii="Times New Roman" w:hAnsi="Times New Roman" w:cs="Times New Roman"/>
                <w:color w:val="auto"/>
                <w:sz w:val="21"/>
                <w:szCs w:val="21"/>
                <w:lang w:val="en-US" w:eastAsia="zh-CN"/>
              </w:rPr>
              <w:t>沟道中</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建设完成后，将沟道内施工产生的建筑垃圾等清理干净</w:t>
            </w:r>
            <w:r>
              <w:rPr>
                <w:rFonts w:hint="eastAsia" w:ascii="Times New Roman" w:hAnsi="Times New Roman" w:cs="Times New Roman"/>
                <w:color w:val="auto"/>
                <w:sz w:val="21"/>
                <w:szCs w:val="21"/>
                <w:lang w:val="en-US" w:eastAsia="zh-CN"/>
              </w:rPr>
              <w:t>，避免雨季雨水冲刷对下游黄水水质产生影响</w:t>
            </w:r>
            <w:r>
              <w:rPr>
                <w:rFonts w:hint="eastAsia" w:cs="Times New Roman"/>
                <w:color w:val="auto"/>
                <w:sz w:val="21"/>
                <w:szCs w:val="21"/>
                <w:lang w:val="en-US" w:eastAsia="zh-CN"/>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水质满足《地表水环境质量标准》（GB3838-2002）中Ⅱ类标准</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2631"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（1）生活污水处理措施：施工营地设置1处防渗旱厕，粪便废水进入旱厕后定期清掏作为周边农田农肥使用；生活盥洗水污染负荷较低，收集后全部综合利用于施工场地洒水降尘。 （2）禁止在沟道内倾倒垃圾、严禁施工结束后产生的生活垃圾、混凝土弃渣等固废倾倒在桥头沟内；施工期分段，施工结束后，及时对沟道内的废混凝土、废料等进行清理，避免雨季雨水冲刷进入黄河。（3）加强机械设备的维护保养，避免施工机械在施工过程中发生漏油、滴油的现象发生。（4）车辆冲洗均安排在2#施工工区，2#施工工区设置1个移动式钢化沉淀池，冲洗废水经沉淀池沉淀后用于场地内洒水降尘，严禁外排。</w:t>
            </w:r>
          </w:p>
        </w:tc>
        <w:tc>
          <w:tcPr>
            <w:tcW w:w="777"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无施工废水、机械清洗废水等排放；无生活污水及生活垃圾进入地表水</w:t>
            </w:r>
          </w:p>
        </w:tc>
        <w:tc>
          <w:tcPr>
            <w:tcW w:w="596"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在沿线居民区设置垃圾箱，并由环卫部门定期清理禁止附近村民向</w:t>
            </w:r>
            <w:r>
              <w:rPr>
                <w:rFonts w:hint="default" w:ascii="Times New Roman" w:hAnsi="Times New Roman" w:cs="Times New Roman"/>
                <w:color w:val="auto"/>
                <w:sz w:val="21"/>
                <w:szCs w:val="21"/>
                <w:lang w:val="en-US" w:eastAsia="zh-CN"/>
              </w:rPr>
              <w:t>沟</w:t>
            </w:r>
            <w:r>
              <w:rPr>
                <w:rFonts w:hint="default" w:ascii="Times New Roman" w:hAnsi="Times New Roman" w:cs="Times New Roman"/>
                <w:color w:val="auto"/>
                <w:sz w:val="21"/>
                <w:szCs w:val="21"/>
              </w:rPr>
              <w:t>道倾倒垃圾。</w:t>
            </w:r>
          </w:p>
        </w:tc>
        <w:tc>
          <w:tcPr>
            <w:tcW w:w="519" w:type="pct"/>
            <w:vAlign w:val="center"/>
          </w:tcPr>
          <w:p>
            <w:pPr>
              <w:wordWrap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水质满足《地表水环境质量标准》（GB3838-2002）中Ⅱ类标准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地下水及土壤环境</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2631"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夜间22：00至次日凌晨6：00禁止施工，需连续施工作业的，必须在开工前到环境保护行政主管部门办理夜间施工审批，并向沿线居民告知。昼间可以将施工作业时间与单位的休息时间错开，中午避免进行高噪声的施工作业；</w:t>
            </w:r>
          </w:p>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防洪堤建设在东滩六村、桥头村、新村、东滩五村敏感点附近施工时，设置临时声屏障，并征求村庄村民的谅解和同意。（3）强化项目施工期间环境管理，严格控制施工车辆运行，避免进出场地造成道路堵塞。施工沿线车辆限速行驶、禁鸣喇叭，减少其交通噪声对周边环境的影响。此外，夜间应尽量避免大量施工车辆运行，以保证道路两侧居民的休息环境。（4）减少人为噪音：应严格执行《建筑工程施工现场管理规定》，进行文明施工，建立健全现场噪声管理责任制，加强对施工人员的素质培养，建筑材料轻拿轻放，增强全体施工人员防噪声扰民的意识。（5）积极改进作业技术，采用先进设备与材料，降低作业噪声的产生量。尽量选用低噪声或备有消声降噪的施工机械。施工现场的强噪声机械可以设置作业棚，以减少强噪音的扩散。</w:t>
            </w:r>
          </w:p>
        </w:tc>
        <w:tc>
          <w:tcPr>
            <w:tcW w:w="777"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施工阶段噪声满足《建筑施工场界环境噪声排放标准》（GB12523—2011）的标准，即昼间70dB（A），夜间55dB（A）。</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2631" w:type="pct"/>
            <w:vAlign w:val="center"/>
          </w:tcPr>
          <w:p>
            <w:pPr>
              <w:adjustRightInd w:val="0"/>
              <w:snapToGrid w:val="0"/>
              <w:rPr>
                <w:rFonts w:hint="default" w:ascii="Times New Roman" w:hAnsi="Times New Roman" w:cs="Times New Roman"/>
                <w:bCs/>
                <w:color w:val="auto"/>
                <w:spacing w:val="10"/>
                <w:sz w:val="21"/>
                <w:szCs w:val="21"/>
              </w:rPr>
            </w:pPr>
            <w:r>
              <w:rPr>
                <w:rFonts w:hint="default" w:ascii="Times New Roman" w:hAnsi="Times New Roman" w:cs="Times New Roman"/>
                <w:color w:val="auto"/>
                <w:sz w:val="21"/>
                <w:szCs w:val="21"/>
              </w:rPr>
              <w:t>（1）扬尘污染防治措施：①加强运输车辆的管理，合理安排施工车辆行驶路线，路经居民区集中区域应尽量减缓行驶车速；运输车辆密闭运输，采用篷布遮盖。②东滩六村、新村、桥头村部分敏感点紧邻沟道，在敏感点路段施工时，土方开挖、回填过程中安排洒水车，专人定期洒水，减少扬尘对敏感点村民的影响。③沟道两侧临时堆放的土方，采用防尘网苫盖，并安排专人定期洒水。④加强施工人员管理，提高人员环境保护意识，做好环境保护措施。</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①符合《海东市202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年大气污染防治工作方案》的要求</w:t>
            </w:r>
          </w:p>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控制扬尘影响范围，其影响范围应控制在30m范围区域，避免对敏感点环境空气造成污染影响</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2631" w:type="pct"/>
            <w:vAlign w:val="center"/>
          </w:tcPr>
          <w:p>
            <w:pPr>
              <w:adjustRightInd w:val="0"/>
              <w:snapToGrid w:val="0"/>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1）施工过程中产生的废弃材料必须回收，遗弃的沙石、建材、钢材、包装材料等分类堆放，具有回收利用价值的建筑垃圾，外售给废品回收站，不能回收利用的及时清运至城管部门指定的建筑垃圾处理场。（2）在施工营地设置垃圾箱，施工人员生活垃圾定点收集，及时清运；（3）对收集、贮存、运输、处置固体废物的设施、设备和场所，加强管理和维护，保证其正常运行和使用。</w:t>
            </w:r>
          </w:p>
        </w:tc>
        <w:tc>
          <w:tcPr>
            <w:tcW w:w="777" w:type="pct"/>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施工区和施工营地无生活垃圾、建筑垃圾留存，恢复原有地貌。</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电磁环境</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环境监测</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475"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2631"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77"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96"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9" w:type="pct"/>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19"/>
        <w:spacing w:before="0" w:beforeAutospacing="0" w:line="14"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p>
    <w:p>
      <w:pPr>
        <w:pStyle w:val="19"/>
        <w:spacing w:beforeLines="80" w:beforeAutospacing="0"/>
        <w:jc w:val="center"/>
        <w:outlineLvl w:val="0"/>
        <w:rPr>
          <w:rFonts w:hint="default" w:ascii="Times New Roman" w:hAnsi="Times New Roman" w:eastAsia="黑体" w:cs="Times New Roman"/>
          <w:snapToGrid w:val="0"/>
          <w:color w:val="auto"/>
          <w:sz w:val="30"/>
          <w:szCs w:val="30"/>
        </w:rPr>
      </w:pPr>
      <w:bookmarkStart w:id="30" w:name="_Toc69334663"/>
      <w:r>
        <w:rPr>
          <w:rFonts w:hint="default" w:ascii="Times New Roman" w:hAnsi="Times New Roman" w:eastAsia="黑体" w:cs="Times New Roman"/>
          <w:snapToGrid w:val="0"/>
          <w:color w:val="auto"/>
          <w:sz w:val="30"/>
          <w:szCs w:val="30"/>
        </w:rPr>
        <w:t>七、结论</w:t>
      </w:r>
      <w:bookmarkEnd w:id="30"/>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864" w:hRule="atLeast"/>
          <w:jc w:val="center"/>
        </w:trPr>
        <w:tc>
          <w:tcPr>
            <w:tcW w:w="9289" w:type="dxa"/>
            <w:vAlign w:val="center"/>
          </w:tcPr>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topLinePunct/>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工程对环境的不利影响主要表现在施工期对周边水、气、声、生态等环境及环境敏感区有局部和短暂的不利影响。在落实相关环保措施的前提下，工程施工对周边环境及环境敏感区的影响可以得到减缓，其影响在可接受范围内。工程建成后，自身不产生污染物，可发挥防洪重大作用，保护人民生命财产安全以及社会经济的稳定发展，从减少水土流失角度也对部分敏感区起到保护作用。工程通过多次调整布局和规模，尽量减少对环境敏感区和生态环境的扰动，以实现防洪效益和环境保护效益的协调一致。</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综上所述，该工程实施对环境的有利影响是显著的、长久性的，不利影响是局部、临时性的，可通过环保措施有效的避免，从环境角度分析，该工程的建设是可行的。</w:t>
            </w:r>
          </w:p>
          <w:p>
            <w:pPr>
              <w:adjustRightInd w:val="0"/>
              <w:snapToGrid w:val="0"/>
              <w:spacing w:beforeLines="50"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rPr>
            </w:pPr>
          </w:p>
          <w:p>
            <w:pPr>
              <w:adjustRightInd w:val="0"/>
              <w:snapToGrid w:val="0"/>
              <w:spacing w:line="360" w:lineRule="auto"/>
              <w:rPr>
                <w:rFonts w:hint="default" w:ascii="Times New Roman" w:hAnsi="Times New Roman" w:cs="Times New Roman"/>
                <w:color w:val="auto"/>
              </w:rPr>
            </w:pPr>
          </w:p>
          <w:p>
            <w:pPr>
              <w:adjustRightInd w:val="0"/>
              <w:snapToGrid w:val="0"/>
              <w:spacing w:line="360" w:lineRule="auto"/>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color w:val="auto"/>
              </w:rPr>
            </w:pPr>
          </w:p>
        </w:tc>
      </w:tr>
    </w:tbl>
    <w:p>
      <w:pPr>
        <w:widowControl/>
        <w:adjustRightInd w:val="0"/>
        <w:snapToGrid w:val="0"/>
        <w:spacing w:beforeLines="80"/>
        <w:jc w:val="left"/>
        <w:rPr>
          <w:rFonts w:hint="default" w:ascii="Times New Roman" w:hAnsi="Times New Roman" w:cs="Times New Roman"/>
          <w:color w:val="auto"/>
        </w:rPr>
      </w:pPr>
    </w:p>
    <w:bookmarkEnd w:id="31"/>
    <w:sectPr>
      <w:pgSz w:w="11906" w:h="16838"/>
      <w:pgMar w:top="1440" w:right="1800" w:bottom="1440" w:left="1800" w:header="851" w:footer="1077"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pict>
        <v:shape id="_x0000_s2050" o:spid="_x0000_s2050" o:spt="202" type="#_x0000_t202" style="position:absolute;left:0pt;margin-top:0pt;height:10.35pt;width:15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- 36 -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pict>
        <v:shape id="_x0000_s2051" o:spid="_x0000_s2051" o:spt="202" type="#_x0000_t202" style="position:absolute;left:0pt;margin-top:0pt;height:10.35pt;width:19.5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- 38 -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088D4"/>
    <w:multiLevelType w:val="singleLevel"/>
    <w:tmpl w:val="813088D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mZWYzMjFlN2QyOWUyNDhhNTliZDk2YjVkMTQxYTkifQ=="/>
  </w:docVars>
  <w:rsids>
    <w:rsidRoot w:val="00A14947"/>
    <w:rsid w:val="00001CED"/>
    <w:rsid w:val="00001E67"/>
    <w:rsid w:val="00003CD8"/>
    <w:rsid w:val="00006A59"/>
    <w:rsid w:val="00006AF0"/>
    <w:rsid w:val="0001109D"/>
    <w:rsid w:val="00014965"/>
    <w:rsid w:val="0001523A"/>
    <w:rsid w:val="000159A6"/>
    <w:rsid w:val="00016ECB"/>
    <w:rsid w:val="000212AA"/>
    <w:rsid w:val="000216FE"/>
    <w:rsid w:val="000239B0"/>
    <w:rsid w:val="00024281"/>
    <w:rsid w:val="00025B56"/>
    <w:rsid w:val="000269F6"/>
    <w:rsid w:val="00027EAF"/>
    <w:rsid w:val="00031939"/>
    <w:rsid w:val="00032D25"/>
    <w:rsid w:val="000342F7"/>
    <w:rsid w:val="000343E0"/>
    <w:rsid w:val="00035A54"/>
    <w:rsid w:val="000377B6"/>
    <w:rsid w:val="00050F45"/>
    <w:rsid w:val="0005219D"/>
    <w:rsid w:val="0005568F"/>
    <w:rsid w:val="00055862"/>
    <w:rsid w:val="00057910"/>
    <w:rsid w:val="00060919"/>
    <w:rsid w:val="0006153D"/>
    <w:rsid w:val="00061B1F"/>
    <w:rsid w:val="00062139"/>
    <w:rsid w:val="000625DA"/>
    <w:rsid w:val="00064166"/>
    <w:rsid w:val="00064915"/>
    <w:rsid w:val="000653FE"/>
    <w:rsid w:val="000664DB"/>
    <w:rsid w:val="000668F9"/>
    <w:rsid w:val="000704A2"/>
    <w:rsid w:val="0007127D"/>
    <w:rsid w:val="00071AE5"/>
    <w:rsid w:val="00074783"/>
    <w:rsid w:val="0007544E"/>
    <w:rsid w:val="000801E0"/>
    <w:rsid w:val="00082A29"/>
    <w:rsid w:val="0008331D"/>
    <w:rsid w:val="00083C18"/>
    <w:rsid w:val="000849A3"/>
    <w:rsid w:val="00085B1C"/>
    <w:rsid w:val="0008650A"/>
    <w:rsid w:val="00087177"/>
    <w:rsid w:val="00087A83"/>
    <w:rsid w:val="00090227"/>
    <w:rsid w:val="0009231E"/>
    <w:rsid w:val="00092899"/>
    <w:rsid w:val="00093005"/>
    <w:rsid w:val="00094529"/>
    <w:rsid w:val="000A06B5"/>
    <w:rsid w:val="000A178E"/>
    <w:rsid w:val="000A4874"/>
    <w:rsid w:val="000A557E"/>
    <w:rsid w:val="000A5A67"/>
    <w:rsid w:val="000B058F"/>
    <w:rsid w:val="000B0D84"/>
    <w:rsid w:val="000B3A11"/>
    <w:rsid w:val="000B6604"/>
    <w:rsid w:val="000B693F"/>
    <w:rsid w:val="000C002C"/>
    <w:rsid w:val="000C09AC"/>
    <w:rsid w:val="000C0A63"/>
    <w:rsid w:val="000C10EC"/>
    <w:rsid w:val="000C437E"/>
    <w:rsid w:val="000C51DF"/>
    <w:rsid w:val="000E0B3B"/>
    <w:rsid w:val="000E143F"/>
    <w:rsid w:val="000E3723"/>
    <w:rsid w:val="000E4270"/>
    <w:rsid w:val="000E44E4"/>
    <w:rsid w:val="000E5F16"/>
    <w:rsid w:val="000F1FC8"/>
    <w:rsid w:val="000F293B"/>
    <w:rsid w:val="000F39FA"/>
    <w:rsid w:val="000F4452"/>
    <w:rsid w:val="000F6DA1"/>
    <w:rsid w:val="000F701B"/>
    <w:rsid w:val="001013BF"/>
    <w:rsid w:val="00102995"/>
    <w:rsid w:val="001044C0"/>
    <w:rsid w:val="00104C64"/>
    <w:rsid w:val="001056A0"/>
    <w:rsid w:val="00107D1E"/>
    <w:rsid w:val="00110F87"/>
    <w:rsid w:val="001139C5"/>
    <w:rsid w:val="0011455C"/>
    <w:rsid w:val="001145BD"/>
    <w:rsid w:val="00115279"/>
    <w:rsid w:val="001156E0"/>
    <w:rsid w:val="00117459"/>
    <w:rsid w:val="0011749A"/>
    <w:rsid w:val="001176CF"/>
    <w:rsid w:val="001219D2"/>
    <w:rsid w:val="001227E5"/>
    <w:rsid w:val="00123BCE"/>
    <w:rsid w:val="001251EC"/>
    <w:rsid w:val="00127A68"/>
    <w:rsid w:val="00132CAB"/>
    <w:rsid w:val="00133892"/>
    <w:rsid w:val="00137909"/>
    <w:rsid w:val="00140B13"/>
    <w:rsid w:val="00141B68"/>
    <w:rsid w:val="001434CA"/>
    <w:rsid w:val="0014510D"/>
    <w:rsid w:val="001461DD"/>
    <w:rsid w:val="001466DA"/>
    <w:rsid w:val="0015203E"/>
    <w:rsid w:val="00153716"/>
    <w:rsid w:val="001542AA"/>
    <w:rsid w:val="00154DE1"/>
    <w:rsid w:val="00155B27"/>
    <w:rsid w:val="00155B40"/>
    <w:rsid w:val="00157435"/>
    <w:rsid w:val="00161D51"/>
    <w:rsid w:val="00163EEA"/>
    <w:rsid w:val="00167425"/>
    <w:rsid w:val="001676ED"/>
    <w:rsid w:val="00167A07"/>
    <w:rsid w:val="0017046A"/>
    <w:rsid w:val="001704A3"/>
    <w:rsid w:val="00173836"/>
    <w:rsid w:val="0017504D"/>
    <w:rsid w:val="00177422"/>
    <w:rsid w:val="00177C40"/>
    <w:rsid w:val="00181C1C"/>
    <w:rsid w:val="00181CD6"/>
    <w:rsid w:val="00184F10"/>
    <w:rsid w:val="00185546"/>
    <w:rsid w:val="0018797E"/>
    <w:rsid w:val="0019146B"/>
    <w:rsid w:val="00193201"/>
    <w:rsid w:val="00194398"/>
    <w:rsid w:val="00194604"/>
    <w:rsid w:val="001A1AFC"/>
    <w:rsid w:val="001A26C5"/>
    <w:rsid w:val="001A2F7F"/>
    <w:rsid w:val="001A365B"/>
    <w:rsid w:val="001A7D2A"/>
    <w:rsid w:val="001B410D"/>
    <w:rsid w:val="001B574C"/>
    <w:rsid w:val="001C062E"/>
    <w:rsid w:val="001C0A15"/>
    <w:rsid w:val="001C0AF9"/>
    <w:rsid w:val="001C0FE8"/>
    <w:rsid w:val="001C155A"/>
    <w:rsid w:val="001C475A"/>
    <w:rsid w:val="001C48C0"/>
    <w:rsid w:val="001D0D5B"/>
    <w:rsid w:val="001D3A2C"/>
    <w:rsid w:val="001D6726"/>
    <w:rsid w:val="001D7476"/>
    <w:rsid w:val="001E2EF0"/>
    <w:rsid w:val="001F1520"/>
    <w:rsid w:val="001F3347"/>
    <w:rsid w:val="001F4440"/>
    <w:rsid w:val="001F44DB"/>
    <w:rsid w:val="001F5AAF"/>
    <w:rsid w:val="001F69E4"/>
    <w:rsid w:val="002033C4"/>
    <w:rsid w:val="002050B3"/>
    <w:rsid w:val="002059F7"/>
    <w:rsid w:val="00206728"/>
    <w:rsid w:val="00206A65"/>
    <w:rsid w:val="00207281"/>
    <w:rsid w:val="0021266F"/>
    <w:rsid w:val="00212D31"/>
    <w:rsid w:val="002130C7"/>
    <w:rsid w:val="00213A20"/>
    <w:rsid w:val="00217370"/>
    <w:rsid w:val="00217D66"/>
    <w:rsid w:val="002205F6"/>
    <w:rsid w:val="002218A8"/>
    <w:rsid w:val="002219D0"/>
    <w:rsid w:val="0022306D"/>
    <w:rsid w:val="00225F79"/>
    <w:rsid w:val="002263CB"/>
    <w:rsid w:val="00226563"/>
    <w:rsid w:val="00226574"/>
    <w:rsid w:val="00227824"/>
    <w:rsid w:val="002278EC"/>
    <w:rsid w:val="00230352"/>
    <w:rsid w:val="00232B33"/>
    <w:rsid w:val="002345F5"/>
    <w:rsid w:val="00234D56"/>
    <w:rsid w:val="00235108"/>
    <w:rsid w:val="002357C7"/>
    <w:rsid w:val="00235FEE"/>
    <w:rsid w:val="0023629C"/>
    <w:rsid w:val="002367C4"/>
    <w:rsid w:val="00240181"/>
    <w:rsid w:val="0024082D"/>
    <w:rsid w:val="00241C6E"/>
    <w:rsid w:val="00242DF0"/>
    <w:rsid w:val="0024762F"/>
    <w:rsid w:val="00253127"/>
    <w:rsid w:val="0025490D"/>
    <w:rsid w:val="0025679E"/>
    <w:rsid w:val="00257696"/>
    <w:rsid w:val="00260C68"/>
    <w:rsid w:val="002626C7"/>
    <w:rsid w:val="002637A9"/>
    <w:rsid w:val="00263D5F"/>
    <w:rsid w:val="002641C7"/>
    <w:rsid w:val="002648B0"/>
    <w:rsid w:val="002663ED"/>
    <w:rsid w:val="00272565"/>
    <w:rsid w:val="002727A5"/>
    <w:rsid w:val="00275271"/>
    <w:rsid w:val="0027535E"/>
    <w:rsid w:val="00275AA6"/>
    <w:rsid w:val="00276228"/>
    <w:rsid w:val="002807D5"/>
    <w:rsid w:val="00282CCD"/>
    <w:rsid w:val="0029054E"/>
    <w:rsid w:val="00294761"/>
    <w:rsid w:val="0029524D"/>
    <w:rsid w:val="002971F2"/>
    <w:rsid w:val="002A168C"/>
    <w:rsid w:val="002A2C48"/>
    <w:rsid w:val="002A3D07"/>
    <w:rsid w:val="002A3EED"/>
    <w:rsid w:val="002A4A39"/>
    <w:rsid w:val="002A525A"/>
    <w:rsid w:val="002A5537"/>
    <w:rsid w:val="002A5A17"/>
    <w:rsid w:val="002A6425"/>
    <w:rsid w:val="002A6AE2"/>
    <w:rsid w:val="002B0AC9"/>
    <w:rsid w:val="002B2B83"/>
    <w:rsid w:val="002B49E2"/>
    <w:rsid w:val="002B63D8"/>
    <w:rsid w:val="002B7B00"/>
    <w:rsid w:val="002B7C44"/>
    <w:rsid w:val="002C1388"/>
    <w:rsid w:val="002C3C6A"/>
    <w:rsid w:val="002C4A96"/>
    <w:rsid w:val="002C57AE"/>
    <w:rsid w:val="002C6937"/>
    <w:rsid w:val="002C7CC5"/>
    <w:rsid w:val="002D28EE"/>
    <w:rsid w:val="002D2E86"/>
    <w:rsid w:val="002D4044"/>
    <w:rsid w:val="002D42DB"/>
    <w:rsid w:val="002D5DC9"/>
    <w:rsid w:val="002D774D"/>
    <w:rsid w:val="002E1F3A"/>
    <w:rsid w:val="002E298A"/>
    <w:rsid w:val="002E3A5D"/>
    <w:rsid w:val="002E3B7A"/>
    <w:rsid w:val="002F02A4"/>
    <w:rsid w:val="002F0497"/>
    <w:rsid w:val="002F14FF"/>
    <w:rsid w:val="002F272B"/>
    <w:rsid w:val="002F7C6D"/>
    <w:rsid w:val="002F7E86"/>
    <w:rsid w:val="00301EA0"/>
    <w:rsid w:val="003027E4"/>
    <w:rsid w:val="00302D46"/>
    <w:rsid w:val="0030332C"/>
    <w:rsid w:val="00304B20"/>
    <w:rsid w:val="003057BD"/>
    <w:rsid w:val="00305A81"/>
    <w:rsid w:val="003071E9"/>
    <w:rsid w:val="0031054B"/>
    <w:rsid w:val="00312189"/>
    <w:rsid w:val="00312296"/>
    <w:rsid w:val="0031340E"/>
    <w:rsid w:val="0031530C"/>
    <w:rsid w:val="00316464"/>
    <w:rsid w:val="003204F0"/>
    <w:rsid w:val="0032073A"/>
    <w:rsid w:val="00321D8E"/>
    <w:rsid w:val="00323205"/>
    <w:rsid w:val="00325C8A"/>
    <w:rsid w:val="003278FF"/>
    <w:rsid w:val="0033345C"/>
    <w:rsid w:val="0033436C"/>
    <w:rsid w:val="00334996"/>
    <w:rsid w:val="00336969"/>
    <w:rsid w:val="00336C52"/>
    <w:rsid w:val="00341B3E"/>
    <w:rsid w:val="00341B42"/>
    <w:rsid w:val="00342EFC"/>
    <w:rsid w:val="00345154"/>
    <w:rsid w:val="003451F6"/>
    <w:rsid w:val="0034560E"/>
    <w:rsid w:val="00345928"/>
    <w:rsid w:val="00350523"/>
    <w:rsid w:val="003509DB"/>
    <w:rsid w:val="00352975"/>
    <w:rsid w:val="003546D0"/>
    <w:rsid w:val="00356868"/>
    <w:rsid w:val="003570AF"/>
    <w:rsid w:val="003621D1"/>
    <w:rsid w:val="0036485B"/>
    <w:rsid w:val="00371FEB"/>
    <w:rsid w:val="00373B0D"/>
    <w:rsid w:val="0037511C"/>
    <w:rsid w:val="00376988"/>
    <w:rsid w:val="0037787A"/>
    <w:rsid w:val="00381A72"/>
    <w:rsid w:val="0038208B"/>
    <w:rsid w:val="00382981"/>
    <w:rsid w:val="00385F47"/>
    <w:rsid w:val="00387649"/>
    <w:rsid w:val="00391BA2"/>
    <w:rsid w:val="003945D0"/>
    <w:rsid w:val="00394821"/>
    <w:rsid w:val="00394B5F"/>
    <w:rsid w:val="003A058E"/>
    <w:rsid w:val="003A0FA5"/>
    <w:rsid w:val="003A186A"/>
    <w:rsid w:val="003A1948"/>
    <w:rsid w:val="003A3C71"/>
    <w:rsid w:val="003B152A"/>
    <w:rsid w:val="003B2981"/>
    <w:rsid w:val="003B545B"/>
    <w:rsid w:val="003B54E3"/>
    <w:rsid w:val="003B5706"/>
    <w:rsid w:val="003B574E"/>
    <w:rsid w:val="003B73C3"/>
    <w:rsid w:val="003C17F7"/>
    <w:rsid w:val="003C380A"/>
    <w:rsid w:val="003C6156"/>
    <w:rsid w:val="003C7408"/>
    <w:rsid w:val="003D0281"/>
    <w:rsid w:val="003D3EE9"/>
    <w:rsid w:val="003D55FA"/>
    <w:rsid w:val="003E0532"/>
    <w:rsid w:val="003E3AE9"/>
    <w:rsid w:val="003E3CB5"/>
    <w:rsid w:val="003E64E4"/>
    <w:rsid w:val="003E7681"/>
    <w:rsid w:val="003F0809"/>
    <w:rsid w:val="003F3BDF"/>
    <w:rsid w:val="003F611C"/>
    <w:rsid w:val="003F755C"/>
    <w:rsid w:val="003F7B50"/>
    <w:rsid w:val="00404335"/>
    <w:rsid w:val="00405506"/>
    <w:rsid w:val="00405827"/>
    <w:rsid w:val="00405937"/>
    <w:rsid w:val="00406F01"/>
    <w:rsid w:val="00407AA3"/>
    <w:rsid w:val="0041050B"/>
    <w:rsid w:val="00411B36"/>
    <w:rsid w:val="004121D7"/>
    <w:rsid w:val="004126FA"/>
    <w:rsid w:val="00414289"/>
    <w:rsid w:val="00416148"/>
    <w:rsid w:val="00416D50"/>
    <w:rsid w:val="00417772"/>
    <w:rsid w:val="00420E6A"/>
    <w:rsid w:val="004235E5"/>
    <w:rsid w:val="00431593"/>
    <w:rsid w:val="0043326D"/>
    <w:rsid w:val="00433CA9"/>
    <w:rsid w:val="0043521D"/>
    <w:rsid w:val="00437B0F"/>
    <w:rsid w:val="004416D5"/>
    <w:rsid w:val="00442024"/>
    <w:rsid w:val="00442412"/>
    <w:rsid w:val="0044254C"/>
    <w:rsid w:val="00443F6A"/>
    <w:rsid w:val="00444ADE"/>
    <w:rsid w:val="00446710"/>
    <w:rsid w:val="00450A17"/>
    <w:rsid w:val="004558FB"/>
    <w:rsid w:val="00455DF7"/>
    <w:rsid w:val="004576A8"/>
    <w:rsid w:val="00460AF2"/>
    <w:rsid w:val="0046230A"/>
    <w:rsid w:val="00462A49"/>
    <w:rsid w:val="004630E2"/>
    <w:rsid w:val="0046419C"/>
    <w:rsid w:val="00466321"/>
    <w:rsid w:val="004672AF"/>
    <w:rsid w:val="00470003"/>
    <w:rsid w:val="00470D1E"/>
    <w:rsid w:val="00471A6F"/>
    <w:rsid w:val="004727B0"/>
    <w:rsid w:val="004735E0"/>
    <w:rsid w:val="004764B5"/>
    <w:rsid w:val="00477679"/>
    <w:rsid w:val="00480247"/>
    <w:rsid w:val="0048081D"/>
    <w:rsid w:val="0048117E"/>
    <w:rsid w:val="00481CE8"/>
    <w:rsid w:val="00482EA0"/>
    <w:rsid w:val="00484284"/>
    <w:rsid w:val="00484DE8"/>
    <w:rsid w:val="004853C3"/>
    <w:rsid w:val="004855F6"/>
    <w:rsid w:val="00486AC4"/>
    <w:rsid w:val="00486F0C"/>
    <w:rsid w:val="00490F2A"/>
    <w:rsid w:val="00494670"/>
    <w:rsid w:val="004A0EB4"/>
    <w:rsid w:val="004A24D4"/>
    <w:rsid w:val="004A3823"/>
    <w:rsid w:val="004A42D7"/>
    <w:rsid w:val="004A59BB"/>
    <w:rsid w:val="004B3C5F"/>
    <w:rsid w:val="004B43A3"/>
    <w:rsid w:val="004B4C49"/>
    <w:rsid w:val="004B58A5"/>
    <w:rsid w:val="004B63D9"/>
    <w:rsid w:val="004B7A4E"/>
    <w:rsid w:val="004C0882"/>
    <w:rsid w:val="004C1C3F"/>
    <w:rsid w:val="004C55BE"/>
    <w:rsid w:val="004C5609"/>
    <w:rsid w:val="004C623D"/>
    <w:rsid w:val="004C7FC9"/>
    <w:rsid w:val="004D17B7"/>
    <w:rsid w:val="004D21B8"/>
    <w:rsid w:val="004D2249"/>
    <w:rsid w:val="004D76A2"/>
    <w:rsid w:val="004E3E14"/>
    <w:rsid w:val="004E46F2"/>
    <w:rsid w:val="004E5B30"/>
    <w:rsid w:val="004E5F48"/>
    <w:rsid w:val="004F0258"/>
    <w:rsid w:val="004F0779"/>
    <w:rsid w:val="004F1230"/>
    <w:rsid w:val="004F173F"/>
    <w:rsid w:val="004F177C"/>
    <w:rsid w:val="004F2093"/>
    <w:rsid w:val="004F2DCE"/>
    <w:rsid w:val="004F490D"/>
    <w:rsid w:val="004F4DD6"/>
    <w:rsid w:val="004F6079"/>
    <w:rsid w:val="004F609F"/>
    <w:rsid w:val="004F6921"/>
    <w:rsid w:val="00501851"/>
    <w:rsid w:val="00501E2D"/>
    <w:rsid w:val="005039CB"/>
    <w:rsid w:val="00504359"/>
    <w:rsid w:val="0050558F"/>
    <w:rsid w:val="005057E0"/>
    <w:rsid w:val="00506286"/>
    <w:rsid w:val="00506C05"/>
    <w:rsid w:val="00510813"/>
    <w:rsid w:val="00511DE0"/>
    <w:rsid w:val="00512CF9"/>
    <w:rsid w:val="00513650"/>
    <w:rsid w:val="00515D57"/>
    <w:rsid w:val="005162C2"/>
    <w:rsid w:val="00517F02"/>
    <w:rsid w:val="00522BE8"/>
    <w:rsid w:val="00524539"/>
    <w:rsid w:val="00524547"/>
    <w:rsid w:val="005258A2"/>
    <w:rsid w:val="0052622E"/>
    <w:rsid w:val="00527061"/>
    <w:rsid w:val="00530F7C"/>
    <w:rsid w:val="00532744"/>
    <w:rsid w:val="00534567"/>
    <w:rsid w:val="00534F43"/>
    <w:rsid w:val="00535A84"/>
    <w:rsid w:val="00536889"/>
    <w:rsid w:val="00536E53"/>
    <w:rsid w:val="00541948"/>
    <w:rsid w:val="00542E07"/>
    <w:rsid w:val="005514CE"/>
    <w:rsid w:val="00551A31"/>
    <w:rsid w:val="005527CE"/>
    <w:rsid w:val="00553CA3"/>
    <w:rsid w:val="00554883"/>
    <w:rsid w:val="00554A7B"/>
    <w:rsid w:val="0055572C"/>
    <w:rsid w:val="00555823"/>
    <w:rsid w:val="005573DE"/>
    <w:rsid w:val="0056064F"/>
    <w:rsid w:val="00561B23"/>
    <w:rsid w:val="00561B84"/>
    <w:rsid w:val="00562933"/>
    <w:rsid w:val="00562BED"/>
    <w:rsid w:val="0056405E"/>
    <w:rsid w:val="005643C8"/>
    <w:rsid w:val="00566799"/>
    <w:rsid w:val="00570203"/>
    <w:rsid w:val="00571196"/>
    <w:rsid w:val="0057159A"/>
    <w:rsid w:val="00571D98"/>
    <w:rsid w:val="005720AE"/>
    <w:rsid w:val="0058030D"/>
    <w:rsid w:val="00580A3C"/>
    <w:rsid w:val="00582045"/>
    <w:rsid w:val="00582D92"/>
    <w:rsid w:val="00583C4F"/>
    <w:rsid w:val="0058447C"/>
    <w:rsid w:val="00585CDE"/>
    <w:rsid w:val="0058653C"/>
    <w:rsid w:val="00590AE3"/>
    <w:rsid w:val="005918F1"/>
    <w:rsid w:val="00592CE5"/>
    <w:rsid w:val="0059425D"/>
    <w:rsid w:val="005973FB"/>
    <w:rsid w:val="005A06B7"/>
    <w:rsid w:val="005A1759"/>
    <w:rsid w:val="005A6770"/>
    <w:rsid w:val="005B0D24"/>
    <w:rsid w:val="005B3171"/>
    <w:rsid w:val="005B65F7"/>
    <w:rsid w:val="005C176F"/>
    <w:rsid w:val="005C1E25"/>
    <w:rsid w:val="005C368C"/>
    <w:rsid w:val="005C7B3A"/>
    <w:rsid w:val="005D0369"/>
    <w:rsid w:val="005D53FE"/>
    <w:rsid w:val="005D5D81"/>
    <w:rsid w:val="005D77DD"/>
    <w:rsid w:val="005D7A0F"/>
    <w:rsid w:val="005E0438"/>
    <w:rsid w:val="005E0935"/>
    <w:rsid w:val="005E1224"/>
    <w:rsid w:val="005E1791"/>
    <w:rsid w:val="005E23B7"/>
    <w:rsid w:val="005E2CE6"/>
    <w:rsid w:val="005E4E06"/>
    <w:rsid w:val="005E6324"/>
    <w:rsid w:val="005E6810"/>
    <w:rsid w:val="005F1888"/>
    <w:rsid w:val="005F228B"/>
    <w:rsid w:val="005F29CD"/>
    <w:rsid w:val="005F4DFB"/>
    <w:rsid w:val="005F6CC0"/>
    <w:rsid w:val="005F7D19"/>
    <w:rsid w:val="00603E5B"/>
    <w:rsid w:val="00604BC8"/>
    <w:rsid w:val="00605B92"/>
    <w:rsid w:val="00606546"/>
    <w:rsid w:val="00613976"/>
    <w:rsid w:val="00615B4C"/>
    <w:rsid w:val="00615B5D"/>
    <w:rsid w:val="006162A3"/>
    <w:rsid w:val="00616AFD"/>
    <w:rsid w:val="00617513"/>
    <w:rsid w:val="00620D80"/>
    <w:rsid w:val="0062146F"/>
    <w:rsid w:val="00622116"/>
    <w:rsid w:val="00624055"/>
    <w:rsid w:val="00625942"/>
    <w:rsid w:val="0062794D"/>
    <w:rsid w:val="0063010A"/>
    <w:rsid w:val="00632221"/>
    <w:rsid w:val="006326FC"/>
    <w:rsid w:val="0063286C"/>
    <w:rsid w:val="0063344C"/>
    <w:rsid w:val="006343AF"/>
    <w:rsid w:val="006345E7"/>
    <w:rsid w:val="0063498C"/>
    <w:rsid w:val="00635882"/>
    <w:rsid w:val="0063634A"/>
    <w:rsid w:val="00636CCE"/>
    <w:rsid w:val="00637258"/>
    <w:rsid w:val="006375D8"/>
    <w:rsid w:val="006415A9"/>
    <w:rsid w:val="0064250D"/>
    <w:rsid w:val="00643A86"/>
    <w:rsid w:val="0065023D"/>
    <w:rsid w:val="00653290"/>
    <w:rsid w:val="006535EB"/>
    <w:rsid w:val="006558DA"/>
    <w:rsid w:val="00655EC3"/>
    <w:rsid w:val="00656729"/>
    <w:rsid w:val="00656987"/>
    <w:rsid w:val="00663016"/>
    <w:rsid w:val="00666D0F"/>
    <w:rsid w:val="00671825"/>
    <w:rsid w:val="00674605"/>
    <w:rsid w:val="006748B8"/>
    <w:rsid w:val="00675E8D"/>
    <w:rsid w:val="0068535B"/>
    <w:rsid w:val="00685B3F"/>
    <w:rsid w:val="0068736E"/>
    <w:rsid w:val="006923BD"/>
    <w:rsid w:val="0069290A"/>
    <w:rsid w:val="00697032"/>
    <w:rsid w:val="006975AC"/>
    <w:rsid w:val="00697FC1"/>
    <w:rsid w:val="006A15FB"/>
    <w:rsid w:val="006A1FA3"/>
    <w:rsid w:val="006A3338"/>
    <w:rsid w:val="006A46DD"/>
    <w:rsid w:val="006A6AB6"/>
    <w:rsid w:val="006A72BF"/>
    <w:rsid w:val="006A780A"/>
    <w:rsid w:val="006B170B"/>
    <w:rsid w:val="006B332A"/>
    <w:rsid w:val="006B33BD"/>
    <w:rsid w:val="006C3F75"/>
    <w:rsid w:val="006C4DFC"/>
    <w:rsid w:val="006C4FF8"/>
    <w:rsid w:val="006C5407"/>
    <w:rsid w:val="006C58F2"/>
    <w:rsid w:val="006D0F5A"/>
    <w:rsid w:val="006D170E"/>
    <w:rsid w:val="006D30E1"/>
    <w:rsid w:val="006D5CEC"/>
    <w:rsid w:val="006E06AF"/>
    <w:rsid w:val="006E2665"/>
    <w:rsid w:val="006F1789"/>
    <w:rsid w:val="006F466E"/>
    <w:rsid w:val="006F5846"/>
    <w:rsid w:val="006F797A"/>
    <w:rsid w:val="0070228E"/>
    <w:rsid w:val="007046B4"/>
    <w:rsid w:val="00706C5D"/>
    <w:rsid w:val="00710152"/>
    <w:rsid w:val="007118E6"/>
    <w:rsid w:val="007131E9"/>
    <w:rsid w:val="007225C9"/>
    <w:rsid w:val="0072387C"/>
    <w:rsid w:val="00725230"/>
    <w:rsid w:val="007275BD"/>
    <w:rsid w:val="007339E5"/>
    <w:rsid w:val="00735CD7"/>
    <w:rsid w:val="007378C5"/>
    <w:rsid w:val="00744642"/>
    <w:rsid w:val="00750C41"/>
    <w:rsid w:val="00753904"/>
    <w:rsid w:val="00754034"/>
    <w:rsid w:val="00754BF1"/>
    <w:rsid w:val="00755A30"/>
    <w:rsid w:val="00755E1C"/>
    <w:rsid w:val="00756556"/>
    <w:rsid w:val="00756DB0"/>
    <w:rsid w:val="0076070E"/>
    <w:rsid w:val="0076132B"/>
    <w:rsid w:val="007623AE"/>
    <w:rsid w:val="0076410A"/>
    <w:rsid w:val="00770B19"/>
    <w:rsid w:val="00771E8A"/>
    <w:rsid w:val="00774FA0"/>
    <w:rsid w:val="00774FE0"/>
    <w:rsid w:val="00775955"/>
    <w:rsid w:val="00776620"/>
    <w:rsid w:val="007771AC"/>
    <w:rsid w:val="00777B6D"/>
    <w:rsid w:val="00784855"/>
    <w:rsid w:val="00784F39"/>
    <w:rsid w:val="0078545C"/>
    <w:rsid w:val="0078780A"/>
    <w:rsid w:val="007906C4"/>
    <w:rsid w:val="00793C30"/>
    <w:rsid w:val="007940EA"/>
    <w:rsid w:val="0079678D"/>
    <w:rsid w:val="007967E8"/>
    <w:rsid w:val="007A26B7"/>
    <w:rsid w:val="007A63F2"/>
    <w:rsid w:val="007A691E"/>
    <w:rsid w:val="007B68DE"/>
    <w:rsid w:val="007C11C0"/>
    <w:rsid w:val="007C1857"/>
    <w:rsid w:val="007C514F"/>
    <w:rsid w:val="007C660D"/>
    <w:rsid w:val="007D0F95"/>
    <w:rsid w:val="007D14DC"/>
    <w:rsid w:val="007D1D58"/>
    <w:rsid w:val="007D5B17"/>
    <w:rsid w:val="007D6CA1"/>
    <w:rsid w:val="007D7248"/>
    <w:rsid w:val="007D7ECB"/>
    <w:rsid w:val="007E25A1"/>
    <w:rsid w:val="007E4BD2"/>
    <w:rsid w:val="007E7145"/>
    <w:rsid w:val="007F2A93"/>
    <w:rsid w:val="007F3916"/>
    <w:rsid w:val="007F44E9"/>
    <w:rsid w:val="00800FBF"/>
    <w:rsid w:val="00801179"/>
    <w:rsid w:val="00802479"/>
    <w:rsid w:val="00804071"/>
    <w:rsid w:val="00805372"/>
    <w:rsid w:val="00805B7B"/>
    <w:rsid w:val="00806152"/>
    <w:rsid w:val="00810F9B"/>
    <w:rsid w:val="00811D7B"/>
    <w:rsid w:val="0081293E"/>
    <w:rsid w:val="00814FFB"/>
    <w:rsid w:val="00820568"/>
    <w:rsid w:val="00820C5C"/>
    <w:rsid w:val="00821408"/>
    <w:rsid w:val="00831782"/>
    <w:rsid w:val="00831A80"/>
    <w:rsid w:val="00832F2E"/>
    <w:rsid w:val="008332C8"/>
    <w:rsid w:val="00833743"/>
    <w:rsid w:val="008340A4"/>
    <w:rsid w:val="008341D6"/>
    <w:rsid w:val="00834D1C"/>
    <w:rsid w:val="00836799"/>
    <w:rsid w:val="00837019"/>
    <w:rsid w:val="00837028"/>
    <w:rsid w:val="00837131"/>
    <w:rsid w:val="00845B6E"/>
    <w:rsid w:val="00845F57"/>
    <w:rsid w:val="00846C08"/>
    <w:rsid w:val="008521E0"/>
    <w:rsid w:val="008525B0"/>
    <w:rsid w:val="008527A5"/>
    <w:rsid w:val="00854AA6"/>
    <w:rsid w:val="00855C3B"/>
    <w:rsid w:val="00856584"/>
    <w:rsid w:val="0086270A"/>
    <w:rsid w:val="008630F1"/>
    <w:rsid w:val="00863588"/>
    <w:rsid w:val="008648B5"/>
    <w:rsid w:val="008648BB"/>
    <w:rsid w:val="00867984"/>
    <w:rsid w:val="00867CBC"/>
    <w:rsid w:val="0087038B"/>
    <w:rsid w:val="008709EA"/>
    <w:rsid w:val="00870C8B"/>
    <w:rsid w:val="00871587"/>
    <w:rsid w:val="00873AC7"/>
    <w:rsid w:val="00873DC4"/>
    <w:rsid w:val="00876340"/>
    <w:rsid w:val="00876C30"/>
    <w:rsid w:val="00877017"/>
    <w:rsid w:val="008773C0"/>
    <w:rsid w:val="00880364"/>
    <w:rsid w:val="00880F85"/>
    <w:rsid w:val="0088204E"/>
    <w:rsid w:val="008842A4"/>
    <w:rsid w:val="00886C4C"/>
    <w:rsid w:val="0088711C"/>
    <w:rsid w:val="008874F5"/>
    <w:rsid w:val="00891C9B"/>
    <w:rsid w:val="00892ECF"/>
    <w:rsid w:val="00892F06"/>
    <w:rsid w:val="00894285"/>
    <w:rsid w:val="008A0033"/>
    <w:rsid w:val="008A0CBD"/>
    <w:rsid w:val="008A3E63"/>
    <w:rsid w:val="008A40AE"/>
    <w:rsid w:val="008A4E19"/>
    <w:rsid w:val="008A5009"/>
    <w:rsid w:val="008A67C5"/>
    <w:rsid w:val="008B22E1"/>
    <w:rsid w:val="008B323D"/>
    <w:rsid w:val="008B3C78"/>
    <w:rsid w:val="008B4AE9"/>
    <w:rsid w:val="008B7AA2"/>
    <w:rsid w:val="008C10C7"/>
    <w:rsid w:val="008C1B4B"/>
    <w:rsid w:val="008C30AD"/>
    <w:rsid w:val="008C37A7"/>
    <w:rsid w:val="008C78F4"/>
    <w:rsid w:val="008D068E"/>
    <w:rsid w:val="008D0975"/>
    <w:rsid w:val="008D0F7A"/>
    <w:rsid w:val="008D18DA"/>
    <w:rsid w:val="008D283B"/>
    <w:rsid w:val="008D2FC1"/>
    <w:rsid w:val="008D63BE"/>
    <w:rsid w:val="008D7051"/>
    <w:rsid w:val="008E0C1E"/>
    <w:rsid w:val="008E0CFF"/>
    <w:rsid w:val="008E1F7C"/>
    <w:rsid w:val="008E5284"/>
    <w:rsid w:val="008E5D6B"/>
    <w:rsid w:val="008E5FBA"/>
    <w:rsid w:val="008E6680"/>
    <w:rsid w:val="008E689B"/>
    <w:rsid w:val="008E76F0"/>
    <w:rsid w:val="008F15FE"/>
    <w:rsid w:val="008F2A94"/>
    <w:rsid w:val="008F3D16"/>
    <w:rsid w:val="008F5187"/>
    <w:rsid w:val="008F6C80"/>
    <w:rsid w:val="008F709C"/>
    <w:rsid w:val="00900EC0"/>
    <w:rsid w:val="0090312B"/>
    <w:rsid w:val="00904013"/>
    <w:rsid w:val="009041F3"/>
    <w:rsid w:val="00904210"/>
    <w:rsid w:val="00904961"/>
    <w:rsid w:val="00910B4E"/>
    <w:rsid w:val="00915CB5"/>
    <w:rsid w:val="0091736D"/>
    <w:rsid w:val="00920341"/>
    <w:rsid w:val="0092170E"/>
    <w:rsid w:val="00925829"/>
    <w:rsid w:val="00930268"/>
    <w:rsid w:val="00931001"/>
    <w:rsid w:val="009311A3"/>
    <w:rsid w:val="00931863"/>
    <w:rsid w:val="00932B09"/>
    <w:rsid w:val="00933524"/>
    <w:rsid w:val="00934A78"/>
    <w:rsid w:val="00935CC8"/>
    <w:rsid w:val="00941605"/>
    <w:rsid w:val="0094278D"/>
    <w:rsid w:val="00943F76"/>
    <w:rsid w:val="00945FA6"/>
    <w:rsid w:val="0095308A"/>
    <w:rsid w:val="00955AEE"/>
    <w:rsid w:val="00956F14"/>
    <w:rsid w:val="009620FD"/>
    <w:rsid w:val="0096247A"/>
    <w:rsid w:val="00962586"/>
    <w:rsid w:val="00962640"/>
    <w:rsid w:val="00962C7E"/>
    <w:rsid w:val="00965F4B"/>
    <w:rsid w:val="00970F8A"/>
    <w:rsid w:val="00971821"/>
    <w:rsid w:val="00971EBB"/>
    <w:rsid w:val="00971FB5"/>
    <w:rsid w:val="00972D2A"/>
    <w:rsid w:val="00974FF9"/>
    <w:rsid w:val="00975CC5"/>
    <w:rsid w:val="00976328"/>
    <w:rsid w:val="00976B4E"/>
    <w:rsid w:val="00980DEC"/>
    <w:rsid w:val="009827B3"/>
    <w:rsid w:val="00984458"/>
    <w:rsid w:val="00985283"/>
    <w:rsid w:val="00987322"/>
    <w:rsid w:val="0099277A"/>
    <w:rsid w:val="00993926"/>
    <w:rsid w:val="009A0E9A"/>
    <w:rsid w:val="009A0F3B"/>
    <w:rsid w:val="009A6291"/>
    <w:rsid w:val="009A72C7"/>
    <w:rsid w:val="009A7F4D"/>
    <w:rsid w:val="009B0186"/>
    <w:rsid w:val="009B0474"/>
    <w:rsid w:val="009B0897"/>
    <w:rsid w:val="009B66A8"/>
    <w:rsid w:val="009C096F"/>
    <w:rsid w:val="009C0B7C"/>
    <w:rsid w:val="009C0F59"/>
    <w:rsid w:val="009C3C37"/>
    <w:rsid w:val="009D0852"/>
    <w:rsid w:val="009D1FBF"/>
    <w:rsid w:val="009D2231"/>
    <w:rsid w:val="009D3657"/>
    <w:rsid w:val="009D52D0"/>
    <w:rsid w:val="009D5A71"/>
    <w:rsid w:val="009D5ED8"/>
    <w:rsid w:val="009D7737"/>
    <w:rsid w:val="009E1A47"/>
    <w:rsid w:val="009E1F27"/>
    <w:rsid w:val="009E2C99"/>
    <w:rsid w:val="009E304C"/>
    <w:rsid w:val="009E31C2"/>
    <w:rsid w:val="009E399C"/>
    <w:rsid w:val="009E43C1"/>
    <w:rsid w:val="009E4E3A"/>
    <w:rsid w:val="009E6894"/>
    <w:rsid w:val="009E7E95"/>
    <w:rsid w:val="009F102B"/>
    <w:rsid w:val="009F116F"/>
    <w:rsid w:val="009F1C60"/>
    <w:rsid w:val="009F329E"/>
    <w:rsid w:val="009F624F"/>
    <w:rsid w:val="009F7ED3"/>
    <w:rsid w:val="00A01A4B"/>
    <w:rsid w:val="00A02F39"/>
    <w:rsid w:val="00A03607"/>
    <w:rsid w:val="00A047FF"/>
    <w:rsid w:val="00A04FEF"/>
    <w:rsid w:val="00A05532"/>
    <w:rsid w:val="00A10A09"/>
    <w:rsid w:val="00A11C05"/>
    <w:rsid w:val="00A122CD"/>
    <w:rsid w:val="00A12A32"/>
    <w:rsid w:val="00A1406C"/>
    <w:rsid w:val="00A14248"/>
    <w:rsid w:val="00A14947"/>
    <w:rsid w:val="00A20105"/>
    <w:rsid w:val="00A23DC5"/>
    <w:rsid w:val="00A26CAF"/>
    <w:rsid w:val="00A332F2"/>
    <w:rsid w:val="00A334A3"/>
    <w:rsid w:val="00A34028"/>
    <w:rsid w:val="00A35568"/>
    <w:rsid w:val="00A37056"/>
    <w:rsid w:val="00A4358F"/>
    <w:rsid w:val="00A436EF"/>
    <w:rsid w:val="00A456D5"/>
    <w:rsid w:val="00A45FF6"/>
    <w:rsid w:val="00A46F67"/>
    <w:rsid w:val="00A516A1"/>
    <w:rsid w:val="00A54AA1"/>
    <w:rsid w:val="00A568FF"/>
    <w:rsid w:val="00A61496"/>
    <w:rsid w:val="00A61833"/>
    <w:rsid w:val="00A624C6"/>
    <w:rsid w:val="00A625FC"/>
    <w:rsid w:val="00A63CEC"/>
    <w:rsid w:val="00A63E8C"/>
    <w:rsid w:val="00A64F49"/>
    <w:rsid w:val="00A67254"/>
    <w:rsid w:val="00A7031E"/>
    <w:rsid w:val="00A7053A"/>
    <w:rsid w:val="00A728B1"/>
    <w:rsid w:val="00A7474C"/>
    <w:rsid w:val="00A75930"/>
    <w:rsid w:val="00A763DE"/>
    <w:rsid w:val="00A76DAB"/>
    <w:rsid w:val="00A803D6"/>
    <w:rsid w:val="00A80514"/>
    <w:rsid w:val="00A81282"/>
    <w:rsid w:val="00A84313"/>
    <w:rsid w:val="00A8713F"/>
    <w:rsid w:val="00A91167"/>
    <w:rsid w:val="00A9171C"/>
    <w:rsid w:val="00A91CEB"/>
    <w:rsid w:val="00A92FFD"/>
    <w:rsid w:val="00A95975"/>
    <w:rsid w:val="00A9708D"/>
    <w:rsid w:val="00AA2AB9"/>
    <w:rsid w:val="00AA2C17"/>
    <w:rsid w:val="00AA4172"/>
    <w:rsid w:val="00AA6930"/>
    <w:rsid w:val="00AB1914"/>
    <w:rsid w:val="00AB1DB0"/>
    <w:rsid w:val="00AB5330"/>
    <w:rsid w:val="00AB7747"/>
    <w:rsid w:val="00AB7A02"/>
    <w:rsid w:val="00AC064C"/>
    <w:rsid w:val="00AC2532"/>
    <w:rsid w:val="00AC766B"/>
    <w:rsid w:val="00AC7BC0"/>
    <w:rsid w:val="00AD1507"/>
    <w:rsid w:val="00AD5A70"/>
    <w:rsid w:val="00AD738B"/>
    <w:rsid w:val="00AE159C"/>
    <w:rsid w:val="00AE1BF4"/>
    <w:rsid w:val="00AE5D97"/>
    <w:rsid w:val="00AE6794"/>
    <w:rsid w:val="00AF47CC"/>
    <w:rsid w:val="00AF4EE7"/>
    <w:rsid w:val="00AF58D8"/>
    <w:rsid w:val="00B01110"/>
    <w:rsid w:val="00B01C17"/>
    <w:rsid w:val="00B02262"/>
    <w:rsid w:val="00B027D5"/>
    <w:rsid w:val="00B03CEC"/>
    <w:rsid w:val="00B04C3B"/>
    <w:rsid w:val="00B1042A"/>
    <w:rsid w:val="00B10504"/>
    <w:rsid w:val="00B1209F"/>
    <w:rsid w:val="00B12AD0"/>
    <w:rsid w:val="00B1562D"/>
    <w:rsid w:val="00B17C2F"/>
    <w:rsid w:val="00B217C1"/>
    <w:rsid w:val="00B22545"/>
    <w:rsid w:val="00B23BB2"/>
    <w:rsid w:val="00B24F30"/>
    <w:rsid w:val="00B261D3"/>
    <w:rsid w:val="00B30DEB"/>
    <w:rsid w:val="00B3114A"/>
    <w:rsid w:val="00B31ABF"/>
    <w:rsid w:val="00B335AE"/>
    <w:rsid w:val="00B353F9"/>
    <w:rsid w:val="00B37CE1"/>
    <w:rsid w:val="00B40ACF"/>
    <w:rsid w:val="00B42D77"/>
    <w:rsid w:val="00B46BAA"/>
    <w:rsid w:val="00B50B5F"/>
    <w:rsid w:val="00B5203E"/>
    <w:rsid w:val="00B54128"/>
    <w:rsid w:val="00B544CD"/>
    <w:rsid w:val="00B54F59"/>
    <w:rsid w:val="00B55826"/>
    <w:rsid w:val="00B5610B"/>
    <w:rsid w:val="00B57AAE"/>
    <w:rsid w:val="00B60426"/>
    <w:rsid w:val="00B622DD"/>
    <w:rsid w:val="00B63522"/>
    <w:rsid w:val="00B63EF9"/>
    <w:rsid w:val="00B67A40"/>
    <w:rsid w:val="00B704CC"/>
    <w:rsid w:val="00B70FE9"/>
    <w:rsid w:val="00B72519"/>
    <w:rsid w:val="00B728A2"/>
    <w:rsid w:val="00B76F1D"/>
    <w:rsid w:val="00B776AB"/>
    <w:rsid w:val="00B81B33"/>
    <w:rsid w:val="00B851DE"/>
    <w:rsid w:val="00B908B4"/>
    <w:rsid w:val="00B9174B"/>
    <w:rsid w:val="00B92A19"/>
    <w:rsid w:val="00B92FA2"/>
    <w:rsid w:val="00B930B8"/>
    <w:rsid w:val="00B9544C"/>
    <w:rsid w:val="00B974EB"/>
    <w:rsid w:val="00BA09D8"/>
    <w:rsid w:val="00BA29E9"/>
    <w:rsid w:val="00BA4CF8"/>
    <w:rsid w:val="00BA5665"/>
    <w:rsid w:val="00BA57A3"/>
    <w:rsid w:val="00BB0479"/>
    <w:rsid w:val="00BB306D"/>
    <w:rsid w:val="00BB3618"/>
    <w:rsid w:val="00BB6432"/>
    <w:rsid w:val="00BB6E3F"/>
    <w:rsid w:val="00BC082C"/>
    <w:rsid w:val="00BC0904"/>
    <w:rsid w:val="00BC0C9E"/>
    <w:rsid w:val="00BC2770"/>
    <w:rsid w:val="00BC32DC"/>
    <w:rsid w:val="00BD1A4E"/>
    <w:rsid w:val="00BD1B51"/>
    <w:rsid w:val="00BD2AE0"/>
    <w:rsid w:val="00BD47F6"/>
    <w:rsid w:val="00BD51EF"/>
    <w:rsid w:val="00BD54A4"/>
    <w:rsid w:val="00BD78FB"/>
    <w:rsid w:val="00BE1007"/>
    <w:rsid w:val="00BE312D"/>
    <w:rsid w:val="00BE3FCA"/>
    <w:rsid w:val="00BF250C"/>
    <w:rsid w:val="00BF38EC"/>
    <w:rsid w:val="00C026A0"/>
    <w:rsid w:val="00C042DE"/>
    <w:rsid w:val="00C05719"/>
    <w:rsid w:val="00C1032D"/>
    <w:rsid w:val="00C10578"/>
    <w:rsid w:val="00C10CA6"/>
    <w:rsid w:val="00C14734"/>
    <w:rsid w:val="00C17143"/>
    <w:rsid w:val="00C17D62"/>
    <w:rsid w:val="00C20C7F"/>
    <w:rsid w:val="00C21FDC"/>
    <w:rsid w:val="00C227D0"/>
    <w:rsid w:val="00C2423E"/>
    <w:rsid w:val="00C24EE7"/>
    <w:rsid w:val="00C2596A"/>
    <w:rsid w:val="00C26BC4"/>
    <w:rsid w:val="00C271BE"/>
    <w:rsid w:val="00C27425"/>
    <w:rsid w:val="00C318E4"/>
    <w:rsid w:val="00C31C4F"/>
    <w:rsid w:val="00C328FE"/>
    <w:rsid w:val="00C33A05"/>
    <w:rsid w:val="00C33D6C"/>
    <w:rsid w:val="00C3646C"/>
    <w:rsid w:val="00C416D2"/>
    <w:rsid w:val="00C42500"/>
    <w:rsid w:val="00C4409D"/>
    <w:rsid w:val="00C455BE"/>
    <w:rsid w:val="00C45B68"/>
    <w:rsid w:val="00C469B4"/>
    <w:rsid w:val="00C469EA"/>
    <w:rsid w:val="00C50C37"/>
    <w:rsid w:val="00C51E5F"/>
    <w:rsid w:val="00C53A42"/>
    <w:rsid w:val="00C55BEA"/>
    <w:rsid w:val="00C564BD"/>
    <w:rsid w:val="00C60931"/>
    <w:rsid w:val="00C61E4B"/>
    <w:rsid w:val="00C62E3A"/>
    <w:rsid w:val="00C64503"/>
    <w:rsid w:val="00C6474C"/>
    <w:rsid w:val="00C64A1F"/>
    <w:rsid w:val="00C64BFF"/>
    <w:rsid w:val="00C71067"/>
    <w:rsid w:val="00C76370"/>
    <w:rsid w:val="00C763C9"/>
    <w:rsid w:val="00C80057"/>
    <w:rsid w:val="00C803D5"/>
    <w:rsid w:val="00C82C79"/>
    <w:rsid w:val="00C84753"/>
    <w:rsid w:val="00C874E2"/>
    <w:rsid w:val="00C91611"/>
    <w:rsid w:val="00C934BB"/>
    <w:rsid w:val="00C93FC4"/>
    <w:rsid w:val="00C974E5"/>
    <w:rsid w:val="00CA3585"/>
    <w:rsid w:val="00CA3D5A"/>
    <w:rsid w:val="00CA4C7C"/>
    <w:rsid w:val="00CB0183"/>
    <w:rsid w:val="00CB1EA3"/>
    <w:rsid w:val="00CB552C"/>
    <w:rsid w:val="00CB5F42"/>
    <w:rsid w:val="00CB6A9E"/>
    <w:rsid w:val="00CB6BEF"/>
    <w:rsid w:val="00CC0A8E"/>
    <w:rsid w:val="00CC10BC"/>
    <w:rsid w:val="00CC5EA4"/>
    <w:rsid w:val="00CC6181"/>
    <w:rsid w:val="00CC6604"/>
    <w:rsid w:val="00CC6D68"/>
    <w:rsid w:val="00CC701F"/>
    <w:rsid w:val="00CD0EF9"/>
    <w:rsid w:val="00CD2BCD"/>
    <w:rsid w:val="00CD3171"/>
    <w:rsid w:val="00CD36AA"/>
    <w:rsid w:val="00CD3791"/>
    <w:rsid w:val="00CD65B0"/>
    <w:rsid w:val="00CE02CD"/>
    <w:rsid w:val="00CE10E9"/>
    <w:rsid w:val="00CE1CF5"/>
    <w:rsid w:val="00CE31EE"/>
    <w:rsid w:val="00CF0BC9"/>
    <w:rsid w:val="00D0072E"/>
    <w:rsid w:val="00D02BF6"/>
    <w:rsid w:val="00D07A1B"/>
    <w:rsid w:val="00D11D83"/>
    <w:rsid w:val="00D15727"/>
    <w:rsid w:val="00D16332"/>
    <w:rsid w:val="00D22C9B"/>
    <w:rsid w:val="00D24817"/>
    <w:rsid w:val="00D24972"/>
    <w:rsid w:val="00D2515E"/>
    <w:rsid w:val="00D308ED"/>
    <w:rsid w:val="00D316BE"/>
    <w:rsid w:val="00D318F2"/>
    <w:rsid w:val="00D353AD"/>
    <w:rsid w:val="00D3770C"/>
    <w:rsid w:val="00D37A11"/>
    <w:rsid w:val="00D42428"/>
    <w:rsid w:val="00D47C22"/>
    <w:rsid w:val="00D53424"/>
    <w:rsid w:val="00D53CF9"/>
    <w:rsid w:val="00D54A3C"/>
    <w:rsid w:val="00D55DBA"/>
    <w:rsid w:val="00D56178"/>
    <w:rsid w:val="00D56CF0"/>
    <w:rsid w:val="00D56F5C"/>
    <w:rsid w:val="00D61F55"/>
    <w:rsid w:val="00D64B70"/>
    <w:rsid w:val="00D67F99"/>
    <w:rsid w:val="00D704B1"/>
    <w:rsid w:val="00D7067C"/>
    <w:rsid w:val="00D70B63"/>
    <w:rsid w:val="00D71036"/>
    <w:rsid w:val="00D72B92"/>
    <w:rsid w:val="00D72ED4"/>
    <w:rsid w:val="00D73BC6"/>
    <w:rsid w:val="00D73F61"/>
    <w:rsid w:val="00D754C0"/>
    <w:rsid w:val="00D776A2"/>
    <w:rsid w:val="00D801C4"/>
    <w:rsid w:val="00D80FDF"/>
    <w:rsid w:val="00D848A4"/>
    <w:rsid w:val="00D855F8"/>
    <w:rsid w:val="00D90836"/>
    <w:rsid w:val="00D91CFE"/>
    <w:rsid w:val="00D93C36"/>
    <w:rsid w:val="00D95896"/>
    <w:rsid w:val="00D95CC6"/>
    <w:rsid w:val="00D96528"/>
    <w:rsid w:val="00D9725C"/>
    <w:rsid w:val="00DA09EA"/>
    <w:rsid w:val="00DA2DA3"/>
    <w:rsid w:val="00DA4B64"/>
    <w:rsid w:val="00DA4F6D"/>
    <w:rsid w:val="00DA500D"/>
    <w:rsid w:val="00DA5513"/>
    <w:rsid w:val="00DA638F"/>
    <w:rsid w:val="00DA6615"/>
    <w:rsid w:val="00DA66C4"/>
    <w:rsid w:val="00DA76AE"/>
    <w:rsid w:val="00DB181E"/>
    <w:rsid w:val="00DB1C7A"/>
    <w:rsid w:val="00DB22F3"/>
    <w:rsid w:val="00DB2983"/>
    <w:rsid w:val="00DB29C2"/>
    <w:rsid w:val="00DB343D"/>
    <w:rsid w:val="00DB38ED"/>
    <w:rsid w:val="00DB4FDF"/>
    <w:rsid w:val="00DB5579"/>
    <w:rsid w:val="00DB5CFE"/>
    <w:rsid w:val="00DC13F1"/>
    <w:rsid w:val="00DC5346"/>
    <w:rsid w:val="00DC57A8"/>
    <w:rsid w:val="00DC72A6"/>
    <w:rsid w:val="00DD0479"/>
    <w:rsid w:val="00DD2113"/>
    <w:rsid w:val="00DD265E"/>
    <w:rsid w:val="00DD345C"/>
    <w:rsid w:val="00DE1273"/>
    <w:rsid w:val="00DE4C01"/>
    <w:rsid w:val="00DE6B1D"/>
    <w:rsid w:val="00DF0173"/>
    <w:rsid w:val="00DF1930"/>
    <w:rsid w:val="00DF3AD7"/>
    <w:rsid w:val="00DF514A"/>
    <w:rsid w:val="00DF6BA9"/>
    <w:rsid w:val="00E001B4"/>
    <w:rsid w:val="00E002FF"/>
    <w:rsid w:val="00E033D0"/>
    <w:rsid w:val="00E0358D"/>
    <w:rsid w:val="00E04761"/>
    <w:rsid w:val="00E06248"/>
    <w:rsid w:val="00E06327"/>
    <w:rsid w:val="00E06881"/>
    <w:rsid w:val="00E072D8"/>
    <w:rsid w:val="00E122DB"/>
    <w:rsid w:val="00E12E7A"/>
    <w:rsid w:val="00E157F1"/>
    <w:rsid w:val="00E16277"/>
    <w:rsid w:val="00E1689A"/>
    <w:rsid w:val="00E20440"/>
    <w:rsid w:val="00E2064B"/>
    <w:rsid w:val="00E2296B"/>
    <w:rsid w:val="00E22C06"/>
    <w:rsid w:val="00E24675"/>
    <w:rsid w:val="00E24D63"/>
    <w:rsid w:val="00E25239"/>
    <w:rsid w:val="00E265B1"/>
    <w:rsid w:val="00E275B0"/>
    <w:rsid w:val="00E348A4"/>
    <w:rsid w:val="00E412D0"/>
    <w:rsid w:val="00E423A9"/>
    <w:rsid w:val="00E42897"/>
    <w:rsid w:val="00E42BD1"/>
    <w:rsid w:val="00E43249"/>
    <w:rsid w:val="00E437C8"/>
    <w:rsid w:val="00E47CDB"/>
    <w:rsid w:val="00E5395E"/>
    <w:rsid w:val="00E53DEC"/>
    <w:rsid w:val="00E560E8"/>
    <w:rsid w:val="00E56636"/>
    <w:rsid w:val="00E566BC"/>
    <w:rsid w:val="00E570F0"/>
    <w:rsid w:val="00E60982"/>
    <w:rsid w:val="00E60C8D"/>
    <w:rsid w:val="00E6162F"/>
    <w:rsid w:val="00E62522"/>
    <w:rsid w:val="00E6311B"/>
    <w:rsid w:val="00E636AE"/>
    <w:rsid w:val="00E65D97"/>
    <w:rsid w:val="00E67EFD"/>
    <w:rsid w:val="00E702DC"/>
    <w:rsid w:val="00E71421"/>
    <w:rsid w:val="00E71FFB"/>
    <w:rsid w:val="00E75262"/>
    <w:rsid w:val="00E7555A"/>
    <w:rsid w:val="00E76D1D"/>
    <w:rsid w:val="00E806F8"/>
    <w:rsid w:val="00E813B9"/>
    <w:rsid w:val="00E81417"/>
    <w:rsid w:val="00E8519C"/>
    <w:rsid w:val="00E87752"/>
    <w:rsid w:val="00E8793B"/>
    <w:rsid w:val="00E90244"/>
    <w:rsid w:val="00E90F81"/>
    <w:rsid w:val="00E91A6D"/>
    <w:rsid w:val="00E9242D"/>
    <w:rsid w:val="00E974D8"/>
    <w:rsid w:val="00EA07C4"/>
    <w:rsid w:val="00EB041C"/>
    <w:rsid w:val="00EB0517"/>
    <w:rsid w:val="00EB192C"/>
    <w:rsid w:val="00EB3676"/>
    <w:rsid w:val="00EB7201"/>
    <w:rsid w:val="00EC1C17"/>
    <w:rsid w:val="00EC25DF"/>
    <w:rsid w:val="00EC2C78"/>
    <w:rsid w:val="00EC5874"/>
    <w:rsid w:val="00EC587B"/>
    <w:rsid w:val="00EC738F"/>
    <w:rsid w:val="00ED192D"/>
    <w:rsid w:val="00ED2FA7"/>
    <w:rsid w:val="00ED30B4"/>
    <w:rsid w:val="00ED31F5"/>
    <w:rsid w:val="00ED3DB9"/>
    <w:rsid w:val="00EE352E"/>
    <w:rsid w:val="00EE47EE"/>
    <w:rsid w:val="00EF2759"/>
    <w:rsid w:val="00EF369D"/>
    <w:rsid w:val="00EF3B4E"/>
    <w:rsid w:val="00EF45EB"/>
    <w:rsid w:val="00EF5099"/>
    <w:rsid w:val="00EF5610"/>
    <w:rsid w:val="00EF5E33"/>
    <w:rsid w:val="00F00075"/>
    <w:rsid w:val="00F005CF"/>
    <w:rsid w:val="00F056C5"/>
    <w:rsid w:val="00F070AE"/>
    <w:rsid w:val="00F07822"/>
    <w:rsid w:val="00F10758"/>
    <w:rsid w:val="00F1102F"/>
    <w:rsid w:val="00F15C95"/>
    <w:rsid w:val="00F17346"/>
    <w:rsid w:val="00F22985"/>
    <w:rsid w:val="00F241AB"/>
    <w:rsid w:val="00F255FE"/>
    <w:rsid w:val="00F2675E"/>
    <w:rsid w:val="00F268A6"/>
    <w:rsid w:val="00F30C7E"/>
    <w:rsid w:val="00F31382"/>
    <w:rsid w:val="00F35829"/>
    <w:rsid w:val="00F35B22"/>
    <w:rsid w:val="00F40598"/>
    <w:rsid w:val="00F40DCF"/>
    <w:rsid w:val="00F42868"/>
    <w:rsid w:val="00F43770"/>
    <w:rsid w:val="00F465A7"/>
    <w:rsid w:val="00F46C79"/>
    <w:rsid w:val="00F50B7C"/>
    <w:rsid w:val="00F5202D"/>
    <w:rsid w:val="00F52B34"/>
    <w:rsid w:val="00F52CF6"/>
    <w:rsid w:val="00F54496"/>
    <w:rsid w:val="00F60B33"/>
    <w:rsid w:val="00F61097"/>
    <w:rsid w:val="00F70D3B"/>
    <w:rsid w:val="00F72EDA"/>
    <w:rsid w:val="00F7339A"/>
    <w:rsid w:val="00F74345"/>
    <w:rsid w:val="00F74441"/>
    <w:rsid w:val="00F75FC0"/>
    <w:rsid w:val="00F77F30"/>
    <w:rsid w:val="00F819C1"/>
    <w:rsid w:val="00F82589"/>
    <w:rsid w:val="00F82B19"/>
    <w:rsid w:val="00F84683"/>
    <w:rsid w:val="00F84BDA"/>
    <w:rsid w:val="00F85156"/>
    <w:rsid w:val="00F8796D"/>
    <w:rsid w:val="00F90AA7"/>
    <w:rsid w:val="00F90BBD"/>
    <w:rsid w:val="00F9185C"/>
    <w:rsid w:val="00F9212D"/>
    <w:rsid w:val="00FA2377"/>
    <w:rsid w:val="00FA301A"/>
    <w:rsid w:val="00FA406A"/>
    <w:rsid w:val="00FA5CB6"/>
    <w:rsid w:val="00FA712A"/>
    <w:rsid w:val="00FA7FAC"/>
    <w:rsid w:val="00FB68A0"/>
    <w:rsid w:val="00FC050F"/>
    <w:rsid w:val="00FC526F"/>
    <w:rsid w:val="00FC663C"/>
    <w:rsid w:val="00FC66AC"/>
    <w:rsid w:val="00FD18F4"/>
    <w:rsid w:val="00FD3EEA"/>
    <w:rsid w:val="00FD5DFF"/>
    <w:rsid w:val="00FD74B4"/>
    <w:rsid w:val="00FE01B0"/>
    <w:rsid w:val="00FE573D"/>
    <w:rsid w:val="00FE5FC5"/>
    <w:rsid w:val="00FE6BA8"/>
    <w:rsid w:val="00FF0471"/>
    <w:rsid w:val="00FF143E"/>
    <w:rsid w:val="00FF256C"/>
    <w:rsid w:val="00FF3A9A"/>
    <w:rsid w:val="00FF6FCE"/>
    <w:rsid w:val="00FF7518"/>
    <w:rsid w:val="00FF7FD8"/>
    <w:rsid w:val="02922236"/>
    <w:rsid w:val="02DA6184"/>
    <w:rsid w:val="05742AC8"/>
    <w:rsid w:val="06352F05"/>
    <w:rsid w:val="063E7D85"/>
    <w:rsid w:val="070875E0"/>
    <w:rsid w:val="07293586"/>
    <w:rsid w:val="07295285"/>
    <w:rsid w:val="07770C56"/>
    <w:rsid w:val="092217DD"/>
    <w:rsid w:val="093A7294"/>
    <w:rsid w:val="0BD27BF6"/>
    <w:rsid w:val="0D5E4850"/>
    <w:rsid w:val="0DBC748C"/>
    <w:rsid w:val="0E110D06"/>
    <w:rsid w:val="0F13775A"/>
    <w:rsid w:val="0F9A112B"/>
    <w:rsid w:val="1033418E"/>
    <w:rsid w:val="106D2F64"/>
    <w:rsid w:val="10B63710"/>
    <w:rsid w:val="111C2F7A"/>
    <w:rsid w:val="113013DE"/>
    <w:rsid w:val="122B06C2"/>
    <w:rsid w:val="13951726"/>
    <w:rsid w:val="14396509"/>
    <w:rsid w:val="1447165C"/>
    <w:rsid w:val="14A73580"/>
    <w:rsid w:val="17735226"/>
    <w:rsid w:val="180366EB"/>
    <w:rsid w:val="191C2A5B"/>
    <w:rsid w:val="1A1C66C0"/>
    <w:rsid w:val="1A42393B"/>
    <w:rsid w:val="1AAF79A4"/>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49C220D"/>
    <w:rsid w:val="24B301C9"/>
    <w:rsid w:val="24D97A1D"/>
    <w:rsid w:val="250E2960"/>
    <w:rsid w:val="252D53FE"/>
    <w:rsid w:val="25E22C31"/>
    <w:rsid w:val="25EC2D81"/>
    <w:rsid w:val="264528BD"/>
    <w:rsid w:val="26E50E29"/>
    <w:rsid w:val="27D15DD1"/>
    <w:rsid w:val="28A76295"/>
    <w:rsid w:val="28FF5955"/>
    <w:rsid w:val="29206EB8"/>
    <w:rsid w:val="29E325E0"/>
    <w:rsid w:val="2A452503"/>
    <w:rsid w:val="2BA936A8"/>
    <w:rsid w:val="2C315A5A"/>
    <w:rsid w:val="2D9E56F5"/>
    <w:rsid w:val="2E667F96"/>
    <w:rsid w:val="2E8226AB"/>
    <w:rsid w:val="2EA23B35"/>
    <w:rsid w:val="2F1B435D"/>
    <w:rsid w:val="2F832C79"/>
    <w:rsid w:val="2FEF2D58"/>
    <w:rsid w:val="30580BC9"/>
    <w:rsid w:val="311E2ED7"/>
    <w:rsid w:val="315C449C"/>
    <w:rsid w:val="31B82709"/>
    <w:rsid w:val="32400B34"/>
    <w:rsid w:val="32775D97"/>
    <w:rsid w:val="329E6876"/>
    <w:rsid w:val="33D934D4"/>
    <w:rsid w:val="33FE2F6A"/>
    <w:rsid w:val="340A512B"/>
    <w:rsid w:val="34333BE7"/>
    <w:rsid w:val="36074A7F"/>
    <w:rsid w:val="36923549"/>
    <w:rsid w:val="36B75FBF"/>
    <w:rsid w:val="36BD5B96"/>
    <w:rsid w:val="36FB4891"/>
    <w:rsid w:val="38371F61"/>
    <w:rsid w:val="38F12CD3"/>
    <w:rsid w:val="38F94775"/>
    <w:rsid w:val="392971ED"/>
    <w:rsid w:val="3B3763D1"/>
    <w:rsid w:val="3C443A12"/>
    <w:rsid w:val="3CAC03B0"/>
    <w:rsid w:val="3CB215A2"/>
    <w:rsid w:val="3CDA245A"/>
    <w:rsid w:val="3CEE0A37"/>
    <w:rsid w:val="3DAE2286"/>
    <w:rsid w:val="3F414926"/>
    <w:rsid w:val="3F660E74"/>
    <w:rsid w:val="407A6407"/>
    <w:rsid w:val="423A3BCC"/>
    <w:rsid w:val="433A6FE6"/>
    <w:rsid w:val="4350713C"/>
    <w:rsid w:val="436653E0"/>
    <w:rsid w:val="44CD14E0"/>
    <w:rsid w:val="458946E9"/>
    <w:rsid w:val="46D955A7"/>
    <w:rsid w:val="47133957"/>
    <w:rsid w:val="4779329E"/>
    <w:rsid w:val="47A07E0C"/>
    <w:rsid w:val="4870272E"/>
    <w:rsid w:val="49A715BC"/>
    <w:rsid w:val="49DC7715"/>
    <w:rsid w:val="4A023139"/>
    <w:rsid w:val="4A7B576F"/>
    <w:rsid w:val="4A7F6CDE"/>
    <w:rsid w:val="4B6422B6"/>
    <w:rsid w:val="4BAE5993"/>
    <w:rsid w:val="4C4A0649"/>
    <w:rsid w:val="4C6133ED"/>
    <w:rsid w:val="4CE470D3"/>
    <w:rsid w:val="4DEC4FB0"/>
    <w:rsid w:val="4E075D8A"/>
    <w:rsid w:val="4FC62A8C"/>
    <w:rsid w:val="4FE20F0D"/>
    <w:rsid w:val="50504C4B"/>
    <w:rsid w:val="509C6E7C"/>
    <w:rsid w:val="5162104E"/>
    <w:rsid w:val="53A039CC"/>
    <w:rsid w:val="53A1505A"/>
    <w:rsid w:val="54063E08"/>
    <w:rsid w:val="543437E8"/>
    <w:rsid w:val="559B174B"/>
    <w:rsid w:val="55CE0CF4"/>
    <w:rsid w:val="561C7AA1"/>
    <w:rsid w:val="56B22A9C"/>
    <w:rsid w:val="57B72A76"/>
    <w:rsid w:val="5A3C747D"/>
    <w:rsid w:val="5ABE2233"/>
    <w:rsid w:val="5B276D18"/>
    <w:rsid w:val="5B456AE3"/>
    <w:rsid w:val="5BDF5D95"/>
    <w:rsid w:val="5DF87A0F"/>
    <w:rsid w:val="5DFA6875"/>
    <w:rsid w:val="5F1A2B43"/>
    <w:rsid w:val="5F273C10"/>
    <w:rsid w:val="5FB837BB"/>
    <w:rsid w:val="611B0B0D"/>
    <w:rsid w:val="6130015D"/>
    <w:rsid w:val="62364782"/>
    <w:rsid w:val="62B80AC5"/>
    <w:rsid w:val="6359730B"/>
    <w:rsid w:val="63D40BE9"/>
    <w:rsid w:val="63E0211F"/>
    <w:rsid w:val="65373578"/>
    <w:rsid w:val="670E242A"/>
    <w:rsid w:val="673F2C7A"/>
    <w:rsid w:val="681F6961"/>
    <w:rsid w:val="68610A2F"/>
    <w:rsid w:val="68805514"/>
    <w:rsid w:val="694E2071"/>
    <w:rsid w:val="697119CE"/>
    <w:rsid w:val="697A3B33"/>
    <w:rsid w:val="699E2456"/>
    <w:rsid w:val="6B322639"/>
    <w:rsid w:val="6C636C38"/>
    <w:rsid w:val="6D16104A"/>
    <w:rsid w:val="6D6E6855"/>
    <w:rsid w:val="6DB34098"/>
    <w:rsid w:val="6DB545B6"/>
    <w:rsid w:val="6DC36570"/>
    <w:rsid w:val="6E4375A0"/>
    <w:rsid w:val="6E514CED"/>
    <w:rsid w:val="6E79491A"/>
    <w:rsid w:val="6EB563D5"/>
    <w:rsid w:val="6EF15FAC"/>
    <w:rsid w:val="6F225983"/>
    <w:rsid w:val="6FFC5590"/>
    <w:rsid w:val="70023F93"/>
    <w:rsid w:val="70301DA3"/>
    <w:rsid w:val="706D1DD0"/>
    <w:rsid w:val="70856B87"/>
    <w:rsid w:val="70D527EE"/>
    <w:rsid w:val="715B5300"/>
    <w:rsid w:val="715F4BD7"/>
    <w:rsid w:val="71D27F8A"/>
    <w:rsid w:val="71F744C6"/>
    <w:rsid w:val="71F960CF"/>
    <w:rsid w:val="731F5D5E"/>
    <w:rsid w:val="741E793C"/>
    <w:rsid w:val="743D4585"/>
    <w:rsid w:val="758D75E2"/>
    <w:rsid w:val="77762421"/>
    <w:rsid w:val="780F09F4"/>
    <w:rsid w:val="789C4F47"/>
    <w:rsid w:val="78A90480"/>
    <w:rsid w:val="79811327"/>
    <w:rsid w:val="79F80154"/>
    <w:rsid w:val="7A364017"/>
    <w:rsid w:val="7A8265E1"/>
    <w:rsid w:val="7AAD65FE"/>
    <w:rsid w:val="7B686D42"/>
    <w:rsid w:val="7B841746"/>
    <w:rsid w:val="7D0239FF"/>
    <w:rsid w:val="7D5E40CD"/>
    <w:rsid w:val="7D693BED"/>
    <w:rsid w:val="7DBD201D"/>
    <w:rsid w:val="7E4151ED"/>
    <w:rsid w:val="7F0B607D"/>
    <w:rsid w:val="7F14453B"/>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1"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31"/>
    <w:qFormat/>
    <w:locked/>
    <w:uiPriority w:val="9"/>
    <w:pPr>
      <w:keepNext/>
      <w:keepLines/>
      <w:widowControl/>
      <w:adjustRightInd w:val="0"/>
      <w:snapToGrid w:val="0"/>
      <w:spacing w:before="260" w:after="260" w:line="416" w:lineRule="auto"/>
      <w:jc w:val="left"/>
      <w:outlineLvl w:val="1"/>
    </w:pPr>
    <w:rPr>
      <w:rFonts w:ascii="Calibri Light" w:hAnsi="Calibri Light"/>
      <w:b/>
      <w:bCs/>
      <w:kern w:val="0"/>
      <w:sz w:val="32"/>
      <w:szCs w:val="32"/>
    </w:rPr>
  </w:style>
  <w:style w:type="paragraph" w:styleId="7">
    <w:name w:val="heading 3"/>
    <w:basedOn w:val="1"/>
    <w:next w:val="1"/>
    <w:link w:val="32"/>
    <w:autoRedefine/>
    <w:qFormat/>
    <w:locked/>
    <w:uiPriority w:val="0"/>
    <w:pPr>
      <w:keepNext/>
      <w:keepLines/>
      <w:spacing w:before="260" w:after="260" w:line="416" w:lineRule="auto"/>
      <w:outlineLvl w:val="2"/>
    </w:pPr>
    <w:rPr>
      <w:b/>
      <w:bCs/>
      <w:sz w:val="32"/>
      <w:szCs w:val="32"/>
    </w:rPr>
  </w:style>
  <w:style w:type="paragraph" w:styleId="8">
    <w:name w:val="heading 4"/>
    <w:basedOn w:val="1"/>
    <w:next w:val="1"/>
    <w:link w:val="33"/>
    <w:autoRedefine/>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9">
    <w:name w:val="heading 6"/>
    <w:basedOn w:val="1"/>
    <w:next w:val="1"/>
    <w:autoRedefine/>
    <w:qFormat/>
    <w:locked/>
    <w:uiPriority w:val="1"/>
    <w:pPr>
      <w:spacing w:before="199"/>
      <w:ind w:left="905" w:hanging="448"/>
      <w:outlineLvl w:val="6"/>
    </w:pPr>
    <w:rPr>
      <w:rFonts w:ascii="黑体" w:hAnsi="黑体" w:eastAsia="黑体" w:cs="黑体"/>
      <w:sz w:val="30"/>
      <w:szCs w:val="30"/>
      <w:lang w:val="en-US" w:eastAsia="zh-CN" w:bidi="ar-SA"/>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sz w:val="28"/>
      <w:szCs w:val="28"/>
    </w:rPr>
  </w:style>
  <w:style w:type="paragraph" w:styleId="3">
    <w:name w:val="Body Text"/>
    <w:basedOn w:val="1"/>
    <w:next w:val="4"/>
    <w:link w:val="35"/>
    <w:autoRedefine/>
    <w:qFormat/>
    <w:uiPriority w:val="0"/>
    <w:pPr>
      <w:widowControl/>
      <w:snapToGrid w:val="0"/>
      <w:spacing w:before="60" w:after="160" w:line="259" w:lineRule="auto"/>
      <w:ind w:right="113"/>
    </w:pPr>
    <w:rPr>
      <w:kern w:val="0"/>
      <w:sz w:val="18"/>
      <w:szCs w:val="20"/>
    </w:rPr>
  </w:style>
  <w:style w:type="paragraph" w:styleId="4">
    <w:name w:val="Body Text Indent"/>
    <w:basedOn w:val="1"/>
    <w:next w:val="1"/>
    <w:link w:val="36"/>
    <w:qFormat/>
    <w:uiPriority w:val="0"/>
    <w:pPr>
      <w:spacing w:after="120"/>
      <w:ind w:left="420" w:leftChars="200"/>
    </w:pPr>
    <w:rPr>
      <w:kern w:val="0"/>
    </w:rPr>
  </w:style>
  <w:style w:type="paragraph" w:styleId="10">
    <w:name w:val="Normal Indent"/>
    <w:basedOn w:val="1"/>
    <w:autoRedefine/>
    <w:qFormat/>
    <w:uiPriority w:val="0"/>
    <w:pPr>
      <w:ind w:firstLine="420" w:firstLineChars="200"/>
    </w:pPr>
  </w:style>
  <w:style w:type="paragraph" w:styleId="11">
    <w:name w:val="annotation text"/>
    <w:basedOn w:val="1"/>
    <w:link w:val="34"/>
    <w:autoRedefine/>
    <w:semiHidden/>
    <w:qFormat/>
    <w:uiPriority w:val="0"/>
    <w:pPr>
      <w:jc w:val="left"/>
    </w:pPr>
    <w:rPr>
      <w:kern w:val="0"/>
      <w:szCs w:val="20"/>
    </w:rPr>
  </w:style>
  <w:style w:type="paragraph" w:styleId="12">
    <w:name w:val="Plain Text"/>
    <w:basedOn w:val="1"/>
    <w:link w:val="62"/>
    <w:autoRedefine/>
    <w:qFormat/>
    <w:uiPriority w:val="0"/>
    <w:rPr>
      <w:rFonts w:ascii="宋体" w:hAnsi="Courier New"/>
      <w:b/>
      <w:sz w:val="28"/>
      <w:szCs w:val="20"/>
    </w:rPr>
  </w:style>
  <w:style w:type="paragraph" w:styleId="13">
    <w:name w:val="Date"/>
    <w:basedOn w:val="1"/>
    <w:next w:val="1"/>
    <w:link w:val="37"/>
    <w:autoRedefine/>
    <w:qFormat/>
    <w:uiPriority w:val="0"/>
    <w:pPr>
      <w:ind w:left="100" w:leftChars="2500"/>
    </w:pPr>
    <w:rPr>
      <w:kern w:val="0"/>
      <w:szCs w:val="20"/>
    </w:rPr>
  </w:style>
  <w:style w:type="paragraph" w:styleId="14">
    <w:name w:val="Balloon Text"/>
    <w:basedOn w:val="1"/>
    <w:link w:val="38"/>
    <w:autoRedefine/>
    <w:semiHidden/>
    <w:qFormat/>
    <w:uiPriority w:val="0"/>
    <w:rPr>
      <w:kern w:val="0"/>
      <w:sz w:val="18"/>
      <w:szCs w:val="18"/>
    </w:rPr>
  </w:style>
  <w:style w:type="paragraph" w:styleId="15">
    <w:name w:val="footer"/>
    <w:basedOn w:val="1"/>
    <w:link w:val="39"/>
    <w:autoRedefine/>
    <w:qFormat/>
    <w:uiPriority w:val="0"/>
    <w:pPr>
      <w:tabs>
        <w:tab w:val="center" w:pos="4153"/>
        <w:tab w:val="right" w:pos="8306"/>
      </w:tabs>
      <w:snapToGrid w:val="0"/>
      <w:jc w:val="left"/>
    </w:pPr>
    <w:rPr>
      <w:kern w:val="0"/>
      <w:sz w:val="18"/>
      <w:szCs w:val="18"/>
    </w:rPr>
  </w:style>
  <w:style w:type="paragraph" w:styleId="16">
    <w:name w:val="header"/>
    <w:basedOn w:val="1"/>
    <w:next w:val="3"/>
    <w:link w:val="30"/>
    <w:autoRedefine/>
    <w:qFormat/>
    <w:uiPriority w:val="0"/>
    <w:pPr>
      <w:pBdr>
        <w:bottom w:val="single" w:color="auto" w:sz="6" w:space="1"/>
      </w:pBdr>
      <w:tabs>
        <w:tab w:val="center" w:pos="4153"/>
        <w:tab w:val="right" w:pos="8306"/>
      </w:tabs>
      <w:snapToGrid w:val="0"/>
      <w:jc w:val="center"/>
    </w:pPr>
    <w:rPr>
      <w:szCs w:val="18"/>
    </w:rPr>
  </w:style>
  <w:style w:type="paragraph" w:styleId="17">
    <w:name w:val="toc 1"/>
    <w:basedOn w:val="1"/>
    <w:next w:val="1"/>
    <w:autoRedefine/>
    <w:qFormat/>
    <w:locked/>
    <w:uiPriority w:val="39"/>
    <w:pPr>
      <w:tabs>
        <w:tab w:val="right" w:leader="dot" w:pos="8296"/>
      </w:tabs>
      <w:jc w:val="center"/>
    </w:pPr>
  </w:style>
  <w:style w:type="paragraph" w:styleId="18">
    <w:name w:val="Subtitle"/>
    <w:basedOn w:val="1"/>
    <w:next w:val="1"/>
    <w:link w:val="40"/>
    <w:autoRedefine/>
    <w:qFormat/>
    <w:locked/>
    <w:uiPriority w:val="11"/>
    <w:pPr>
      <w:spacing w:line="360" w:lineRule="auto"/>
      <w:jc w:val="center"/>
    </w:pPr>
    <w:rPr>
      <w:b/>
      <w:bCs/>
      <w:kern w:val="28"/>
      <w:szCs w:val="32"/>
    </w:rPr>
  </w:style>
  <w:style w:type="paragraph" w:styleId="19">
    <w:name w:val="Normal (Web)"/>
    <w:basedOn w:val="1"/>
    <w:link w:val="41"/>
    <w:autoRedefine/>
    <w:qFormat/>
    <w:uiPriority w:val="0"/>
    <w:pPr>
      <w:widowControl/>
      <w:spacing w:before="100" w:beforeAutospacing="1" w:after="100" w:afterAutospacing="1"/>
      <w:jc w:val="left"/>
    </w:pPr>
    <w:rPr>
      <w:rFonts w:ascii="宋体" w:hAnsi="宋体"/>
      <w:kern w:val="0"/>
      <w:szCs w:val="20"/>
    </w:rPr>
  </w:style>
  <w:style w:type="paragraph" w:styleId="20">
    <w:name w:val="Title"/>
    <w:basedOn w:val="1"/>
    <w:next w:val="1"/>
    <w:link w:val="66"/>
    <w:autoRedefine/>
    <w:qFormat/>
    <w:locked/>
    <w:uiPriority w:val="0"/>
    <w:pPr>
      <w:spacing w:before="240" w:after="60"/>
      <w:jc w:val="left"/>
      <w:outlineLvl w:val="0"/>
    </w:pPr>
    <w:rPr>
      <w:rFonts w:ascii="Cambria" w:hAnsi="Cambria"/>
      <w:b/>
      <w:bCs/>
      <w:sz w:val="30"/>
      <w:szCs w:val="32"/>
    </w:rPr>
  </w:style>
  <w:style w:type="paragraph" w:styleId="21">
    <w:name w:val="annotation subject"/>
    <w:basedOn w:val="11"/>
    <w:next w:val="11"/>
    <w:link w:val="42"/>
    <w:semiHidden/>
    <w:qFormat/>
    <w:uiPriority w:val="0"/>
    <w:rPr>
      <w:b/>
      <w:bCs/>
      <w:kern w:val="2"/>
    </w:rPr>
  </w:style>
  <w:style w:type="paragraph" w:styleId="22">
    <w:name w:val="Body Text First Indent 2"/>
    <w:basedOn w:val="1"/>
    <w:next w:val="1"/>
    <w:autoRedefine/>
    <w:qFormat/>
    <w:uiPriority w:val="0"/>
    <w:pPr>
      <w:ind w:firstLine="420" w:firstLineChars="200"/>
    </w:p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basedOn w:val="25"/>
    <w:autoRedefine/>
    <w:qFormat/>
    <w:locked/>
    <w:uiPriority w:val="0"/>
    <w:rPr>
      <w:i/>
    </w:rPr>
  </w:style>
  <w:style w:type="character" w:styleId="28">
    <w:name w:val="Hyperlink"/>
    <w:unhideWhenUsed/>
    <w:qFormat/>
    <w:uiPriority w:val="99"/>
    <w:rPr>
      <w:color w:val="0000FF"/>
      <w:u w:val="single"/>
    </w:rPr>
  </w:style>
  <w:style w:type="character" w:styleId="29">
    <w:name w:val="annotation reference"/>
    <w:autoRedefine/>
    <w:semiHidden/>
    <w:qFormat/>
    <w:uiPriority w:val="0"/>
    <w:rPr>
      <w:sz w:val="21"/>
    </w:rPr>
  </w:style>
  <w:style w:type="character" w:customStyle="1" w:styleId="30">
    <w:name w:val="页眉 Char"/>
    <w:link w:val="16"/>
    <w:qFormat/>
    <w:locked/>
    <w:uiPriority w:val="0"/>
    <w:rPr>
      <w:rFonts w:ascii="Times New Roman" w:hAnsi="Times New Roman" w:eastAsia="宋体" w:cs="Times New Roman"/>
      <w:sz w:val="18"/>
      <w:szCs w:val="18"/>
    </w:rPr>
  </w:style>
  <w:style w:type="character" w:customStyle="1" w:styleId="31">
    <w:name w:val="标题 2 Char"/>
    <w:link w:val="6"/>
    <w:autoRedefine/>
    <w:qFormat/>
    <w:uiPriority w:val="9"/>
    <w:rPr>
      <w:rFonts w:ascii="Calibri Light" w:hAnsi="Calibri Light"/>
      <w:b/>
      <w:bCs/>
      <w:sz w:val="32"/>
      <w:szCs w:val="32"/>
    </w:rPr>
  </w:style>
  <w:style w:type="character" w:customStyle="1" w:styleId="32">
    <w:name w:val="标题 3 Char"/>
    <w:link w:val="7"/>
    <w:autoRedefine/>
    <w:semiHidden/>
    <w:qFormat/>
    <w:uiPriority w:val="0"/>
    <w:rPr>
      <w:b/>
      <w:bCs/>
      <w:kern w:val="2"/>
      <w:sz w:val="32"/>
      <w:szCs w:val="32"/>
    </w:rPr>
  </w:style>
  <w:style w:type="character" w:customStyle="1" w:styleId="33">
    <w:name w:val="标题 4 Char"/>
    <w:link w:val="8"/>
    <w:semiHidden/>
    <w:qFormat/>
    <w:uiPriority w:val="0"/>
    <w:rPr>
      <w:rFonts w:ascii="等线 Light" w:hAnsi="等线 Light" w:eastAsia="等线 Light" w:cs="Times New Roman"/>
      <w:b/>
      <w:bCs/>
      <w:kern w:val="2"/>
      <w:sz w:val="28"/>
      <w:szCs w:val="28"/>
    </w:rPr>
  </w:style>
  <w:style w:type="character" w:customStyle="1" w:styleId="34">
    <w:name w:val="批注文字 Char"/>
    <w:link w:val="11"/>
    <w:autoRedefine/>
    <w:qFormat/>
    <w:locked/>
    <w:uiPriority w:val="0"/>
    <w:rPr>
      <w:rFonts w:ascii="Times New Roman" w:hAnsi="Times New Roman" w:eastAsia="宋体"/>
      <w:sz w:val="24"/>
    </w:rPr>
  </w:style>
  <w:style w:type="character" w:customStyle="1" w:styleId="35">
    <w:name w:val="正文文本 Char"/>
    <w:link w:val="3"/>
    <w:qFormat/>
    <w:locked/>
    <w:uiPriority w:val="0"/>
    <w:rPr>
      <w:sz w:val="18"/>
    </w:rPr>
  </w:style>
  <w:style w:type="character" w:customStyle="1" w:styleId="36">
    <w:name w:val="正文文本缩进 Char"/>
    <w:link w:val="4"/>
    <w:autoRedefine/>
    <w:semiHidden/>
    <w:qFormat/>
    <w:locked/>
    <w:uiPriority w:val="0"/>
    <w:rPr>
      <w:rFonts w:ascii="Times New Roman" w:hAnsi="Times New Roman" w:eastAsia="宋体" w:cs="Times New Roman"/>
      <w:sz w:val="24"/>
      <w:szCs w:val="24"/>
    </w:rPr>
  </w:style>
  <w:style w:type="character" w:customStyle="1" w:styleId="37">
    <w:name w:val="日期 Char"/>
    <w:link w:val="13"/>
    <w:qFormat/>
    <w:locked/>
    <w:uiPriority w:val="0"/>
    <w:rPr>
      <w:rFonts w:ascii="Times New Roman" w:hAnsi="Times New Roman" w:eastAsia="宋体"/>
      <w:sz w:val="24"/>
    </w:rPr>
  </w:style>
  <w:style w:type="character" w:customStyle="1" w:styleId="38">
    <w:name w:val="批注框文本 Char"/>
    <w:link w:val="14"/>
    <w:autoRedefine/>
    <w:semiHidden/>
    <w:qFormat/>
    <w:locked/>
    <w:uiPriority w:val="0"/>
    <w:rPr>
      <w:rFonts w:ascii="Times New Roman" w:hAnsi="Times New Roman" w:eastAsia="宋体" w:cs="Times New Roman"/>
      <w:sz w:val="18"/>
      <w:szCs w:val="18"/>
    </w:rPr>
  </w:style>
  <w:style w:type="character" w:customStyle="1" w:styleId="39">
    <w:name w:val="页脚 Char"/>
    <w:link w:val="15"/>
    <w:autoRedefine/>
    <w:qFormat/>
    <w:locked/>
    <w:uiPriority w:val="0"/>
    <w:rPr>
      <w:rFonts w:cs="Times New Roman"/>
      <w:sz w:val="18"/>
      <w:szCs w:val="18"/>
    </w:rPr>
  </w:style>
  <w:style w:type="character" w:customStyle="1" w:styleId="40">
    <w:name w:val="副标题 Char"/>
    <w:link w:val="18"/>
    <w:autoRedefine/>
    <w:qFormat/>
    <w:uiPriority w:val="11"/>
    <w:rPr>
      <w:b/>
      <w:bCs/>
      <w:kern w:val="28"/>
      <w:sz w:val="24"/>
      <w:szCs w:val="32"/>
    </w:rPr>
  </w:style>
  <w:style w:type="character" w:customStyle="1" w:styleId="41">
    <w:name w:val="普通(网站) Char1"/>
    <w:link w:val="19"/>
    <w:qFormat/>
    <w:locked/>
    <w:uiPriority w:val="0"/>
    <w:rPr>
      <w:rFonts w:ascii="宋体" w:hAnsi="宋体" w:eastAsia="宋体"/>
      <w:sz w:val="24"/>
    </w:rPr>
  </w:style>
  <w:style w:type="character" w:customStyle="1" w:styleId="42">
    <w:name w:val="批注主题 Char"/>
    <w:link w:val="21"/>
    <w:autoRedefine/>
    <w:semiHidden/>
    <w:qFormat/>
    <w:locked/>
    <w:uiPriority w:val="0"/>
    <w:rPr>
      <w:rFonts w:ascii="Times New Roman" w:hAnsi="Times New Roman" w:eastAsia="宋体" w:cs="Times New Roman"/>
      <w:b/>
      <w:bCs/>
      <w:kern w:val="2"/>
      <w:sz w:val="24"/>
      <w:szCs w:val="24"/>
    </w:rPr>
  </w:style>
  <w:style w:type="character" w:customStyle="1" w:styleId="43">
    <w:name w:val="正文文本 字符1"/>
    <w:autoRedefine/>
    <w:semiHidden/>
    <w:qFormat/>
    <w:uiPriority w:val="0"/>
    <w:rPr>
      <w:rFonts w:ascii="Times New Roman" w:hAnsi="Times New Roman" w:eastAsia="宋体" w:cs="Times New Roman"/>
      <w:sz w:val="24"/>
      <w:szCs w:val="24"/>
    </w:rPr>
  </w:style>
  <w:style w:type="character" w:customStyle="1" w:styleId="44">
    <w:name w:val="日期 字符"/>
    <w:autoRedefine/>
    <w:semiHidden/>
    <w:qFormat/>
    <w:uiPriority w:val="0"/>
    <w:rPr>
      <w:rFonts w:ascii="Times New Roman" w:hAnsi="Times New Roman" w:eastAsia="宋体" w:cs="Times New Roman"/>
      <w:sz w:val="24"/>
      <w:szCs w:val="24"/>
    </w:rPr>
  </w:style>
  <w:style w:type="character" w:customStyle="1" w:styleId="45">
    <w:name w:val="批注文字 字符1"/>
    <w:semiHidden/>
    <w:qFormat/>
    <w:uiPriority w:val="0"/>
    <w:rPr>
      <w:rFonts w:ascii="Times New Roman" w:hAnsi="Times New Roman" w:eastAsia="宋体" w:cs="Times New Roman"/>
      <w:sz w:val="24"/>
      <w:szCs w:val="24"/>
    </w:rPr>
  </w:style>
  <w:style w:type="character" w:customStyle="1" w:styleId="46">
    <w:name w:val="普通(网站) Char"/>
    <w:autoRedefine/>
    <w:qFormat/>
    <w:locked/>
    <w:uiPriority w:val="0"/>
    <w:rPr>
      <w:rFonts w:ascii="宋体" w:hAnsi="宋体"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副标题 字符1"/>
    <w:qFormat/>
    <w:uiPriority w:val="0"/>
    <w:rPr>
      <w:rFonts w:ascii="等线 Light" w:hAnsi="等线 Light" w:cs="Times New Roman"/>
      <w:b/>
      <w:bCs/>
      <w:kern w:val="28"/>
      <w:sz w:val="32"/>
      <w:szCs w:val="32"/>
    </w:rPr>
  </w:style>
  <w:style w:type="paragraph" w:customStyle="1" w:styleId="50">
    <w:name w:val="表内容"/>
    <w:qFormat/>
    <w:uiPriority w:val="0"/>
    <w:pPr>
      <w:jc w:val="center"/>
    </w:pPr>
    <w:rPr>
      <w:rFonts w:ascii="Times New Roman" w:hAnsi="Times New Roman" w:eastAsia="仿宋_GB2312" w:cs="Times New Roman"/>
      <w:sz w:val="18"/>
      <w:lang w:val="en-US" w:eastAsia="zh-CN" w:bidi="ar-SA"/>
    </w:rPr>
  </w:style>
  <w:style w:type="paragraph" w:customStyle="1" w:styleId="51">
    <w:name w:val="表格1"/>
    <w:basedOn w:val="1"/>
    <w:qFormat/>
    <w:uiPriority w:val="0"/>
    <w:pPr>
      <w:adjustRightInd w:val="0"/>
      <w:snapToGrid w:val="0"/>
      <w:spacing w:line="360" w:lineRule="auto"/>
      <w:jc w:val="center"/>
    </w:pPr>
    <w:rPr>
      <w:rFonts w:ascii="宋体" w:hAnsi="宋体" w:cs="宋体"/>
      <w:sz w:val="18"/>
    </w:rPr>
  </w:style>
  <w:style w:type="paragraph" w:customStyle="1" w:styleId="52">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3">
    <w:name w:val="正文jxp"/>
    <w:basedOn w:val="1"/>
    <w:qFormat/>
    <w:uiPriority w:val="0"/>
    <w:pPr>
      <w:widowControl/>
      <w:adjustRightInd w:val="0"/>
      <w:snapToGrid w:val="0"/>
      <w:spacing w:line="360" w:lineRule="auto"/>
      <w:ind w:firstLine="480" w:firstLineChars="200"/>
    </w:pPr>
    <w:rPr>
      <w:rFonts w:ascii="宋体" w:hAnsi="宋体" w:cs="宋体"/>
      <w:lang w:eastAsia="en-US" w:bidi="en-US"/>
    </w:rPr>
  </w:style>
  <w:style w:type="paragraph" w:customStyle="1" w:styleId="54">
    <w:name w:val="表头"/>
    <w:basedOn w:val="50"/>
    <w:next w:val="8"/>
    <w:autoRedefine/>
    <w:qFormat/>
    <w:uiPriority w:val="0"/>
    <w:pPr>
      <w:tabs>
        <w:tab w:val="left" w:pos="1440"/>
        <w:tab w:val="left" w:pos="7320"/>
      </w:tabs>
      <w:spacing w:line="360" w:lineRule="auto"/>
    </w:pPr>
    <w:rPr>
      <w:rFonts w:ascii="宋体"/>
      <w:sz w:val="28"/>
    </w:rPr>
  </w:style>
  <w:style w:type="table" w:customStyle="1" w:styleId="55">
    <w:name w:val="网格型1"/>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6">
    <w:name w:val="font11"/>
    <w:qFormat/>
    <w:uiPriority w:val="0"/>
    <w:rPr>
      <w:rFonts w:hint="eastAsia" w:ascii="宋体" w:hAnsi="宋体" w:eastAsia="宋体" w:cs="宋体"/>
      <w:color w:val="000000"/>
      <w:sz w:val="36"/>
      <w:szCs w:val="36"/>
      <w:u w:val="none"/>
    </w:rPr>
  </w:style>
  <w:style w:type="character" w:customStyle="1" w:styleId="57">
    <w:name w:val="font21"/>
    <w:qFormat/>
    <w:uiPriority w:val="0"/>
    <w:rPr>
      <w:rFonts w:hint="eastAsia" w:ascii="宋体" w:hAnsi="宋体" w:eastAsia="宋体" w:cs="宋体"/>
      <w:b/>
      <w:color w:val="000000"/>
      <w:sz w:val="36"/>
      <w:szCs w:val="36"/>
      <w:u w:val="none"/>
    </w:rPr>
  </w:style>
  <w:style w:type="paragraph" w:customStyle="1" w:styleId="58">
    <w:name w:val="表格文字"/>
    <w:basedOn w:val="3"/>
    <w:next w:val="3"/>
    <w:qFormat/>
    <w:uiPriority w:val="0"/>
    <w:pPr>
      <w:widowControl w:val="0"/>
      <w:autoSpaceDE w:val="0"/>
      <w:autoSpaceDN w:val="0"/>
      <w:adjustRightInd w:val="0"/>
      <w:textAlignment w:val="baseline"/>
    </w:pPr>
    <w:rPr>
      <w:rFonts w:ascii="宋体"/>
      <w:color w:val="000000"/>
      <w:sz w:val="24"/>
    </w:rPr>
  </w:style>
  <w:style w:type="paragraph" w:customStyle="1" w:styleId="59">
    <w:name w:val="char"/>
    <w:basedOn w:val="1"/>
    <w:qFormat/>
    <w:uiPriority w:val="0"/>
    <w:pPr>
      <w:widowControl/>
      <w:spacing w:after="160"/>
      <w:jc w:val="left"/>
    </w:pPr>
    <w:rPr>
      <w:rFonts w:ascii="Verdana" w:hAnsi="Verdana" w:eastAsia="仿宋_GB2312" w:cs="”“Times New Roman”“"/>
      <w:kern w:val="0"/>
      <w:sz w:val="28"/>
      <w:szCs w:val="28"/>
      <w:lang w:eastAsia="en-US"/>
    </w:rPr>
  </w:style>
  <w:style w:type="character" w:customStyle="1" w:styleId="60">
    <w:name w:val="正文格式 Char"/>
    <w:link w:val="61"/>
    <w:qFormat/>
    <w:uiPriority w:val="0"/>
    <w:rPr>
      <w:sz w:val="24"/>
      <w:szCs w:val="24"/>
    </w:rPr>
  </w:style>
  <w:style w:type="paragraph" w:customStyle="1" w:styleId="61">
    <w:name w:val="正文格式"/>
    <w:basedOn w:val="1"/>
    <w:link w:val="60"/>
    <w:qFormat/>
    <w:uiPriority w:val="0"/>
    <w:pPr>
      <w:adjustRightInd w:val="0"/>
      <w:snapToGrid w:val="0"/>
      <w:spacing w:line="360" w:lineRule="auto"/>
      <w:ind w:firstLine="480" w:firstLineChars="200"/>
    </w:pPr>
    <w:rPr>
      <w:kern w:val="0"/>
    </w:rPr>
  </w:style>
  <w:style w:type="character" w:customStyle="1" w:styleId="62">
    <w:name w:val="纯文本 Char"/>
    <w:basedOn w:val="25"/>
    <w:link w:val="12"/>
    <w:autoRedefine/>
    <w:qFormat/>
    <w:uiPriority w:val="0"/>
    <w:rPr>
      <w:rFonts w:ascii="宋体" w:hAnsi="Courier New"/>
      <w:b/>
      <w:kern w:val="2"/>
      <w:sz w:val="28"/>
    </w:rPr>
  </w:style>
  <w:style w:type="paragraph" w:customStyle="1" w:styleId="63">
    <w:name w:val="标题三"/>
    <w:basedOn w:val="7"/>
    <w:next w:val="7"/>
    <w:qFormat/>
    <w:uiPriority w:val="0"/>
    <w:pPr>
      <w:spacing w:before="0" w:after="0" w:line="360" w:lineRule="auto"/>
    </w:pPr>
    <w:rPr>
      <w:rFonts w:eastAsia="黑体"/>
      <w:b w:val="0"/>
      <w:color w:val="000000"/>
      <w:kern w:val="0"/>
      <w:sz w:val="28"/>
    </w:rPr>
  </w:style>
  <w:style w:type="paragraph" w:customStyle="1" w:styleId="64">
    <w:name w:val="说明书文本"/>
    <w:basedOn w:val="1"/>
    <w:autoRedefine/>
    <w:qFormat/>
    <w:uiPriority w:val="0"/>
    <w:pPr>
      <w:widowControl/>
      <w:spacing w:afterLines="20" w:line="300" w:lineRule="auto"/>
      <w:ind w:firstLine="200" w:firstLineChars="200"/>
      <w:jc w:val="left"/>
    </w:pPr>
    <w:rPr>
      <w:rFonts w:ascii="宋体" w:hAnsi="宋体"/>
    </w:rPr>
  </w:style>
  <w:style w:type="character" w:customStyle="1" w:styleId="65">
    <w:name w:val="正文文本缩进 字符"/>
    <w:autoRedefine/>
    <w:semiHidden/>
    <w:qFormat/>
    <w:locked/>
    <w:uiPriority w:val="0"/>
    <w:rPr>
      <w:rFonts w:ascii="Times New Roman" w:hAnsi="Times New Roman" w:eastAsia="宋体" w:cs="Times New Roman"/>
      <w:sz w:val="24"/>
      <w:szCs w:val="24"/>
    </w:rPr>
  </w:style>
  <w:style w:type="character" w:customStyle="1" w:styleId="66">
    <w:name w:val="标题 Char"/>
    <w:basedOn w:val="25"/>
    <w:link w:val="20"/>
    <w:qFormat/>
    <w:uiPriority w:val="0"/>
    <w:rPr>
      <w:rFonts w:ascii="Cambria" w:hAnsi="Cambria"/>
      <w:b/>
      <w:bCs/>
      <w:kern w:val="2"/>
      <w:sz w:val="30"/>
      <w:szCs w:val="32"/>
    </w:rPr>
  </w:style>
  <w:style w:type="paragraph" w:customStyle="1" w:styleId="67">
    <w:name w:val="崇化报告书正文"/>
    <w:basedOn w:val="1"/>
    <w:link w:val="68"/>
    <w:qFormat/>
    <w:uiPriority w:val="0"/>
    <w:pPr>
      <w:spacing w:line="400" w:lineRule="exact"/>
      <w:ind w:firstLine="200" w:firstLineChars="200"/>
    </w:pPr>
    <w:rPr>
      <w:color w:val="000000"/>
    </w:rPr>
  </w:style>
  <w:style w:type="character" w:customStyle="1" w:styleId="68">
    <w:name w:val="崇化报告书正文 Char"/>
    <w:link w:val="67"/>
    <w:qFormat/>
    <w:uiPriority w:val="0"/>
    <w:rPr>
      <w:color w:val="000000"/>
      <w:kern w:val="2"/>
      <w:sz w:val="24"/>
      <w:szCs w:val="24"/>
    </w:rPr>
  </w:style>
  <w:style w:type="paragraph" w:customStyle="1" w:styleId="69">
    <w:name w:val="Table Paragraph"/>
    <w:basedOn w:val="1"/>
    <w:qFormat/>
    <w:uiPriority w:val="1"/>
    <w:pPr>
      <w:jc w:val="center"/>
    </w:pPr>
    <w:rPr>
      <w:rFonts w:ascii="Times New Roman" w:hAnsi="Times New Roman" w:eastAsia="Times New Roman" w:cs="Times New Roman"/>
      <w:lang w:val="en-US" w:eastAsia="zh-CN" w:bidi="ar-SA"/>
    </w:rPr>
  </w:style>
  <w:style w:type="paragraph" w:customStyle="1" w:styleId="70">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1"/>
    <customShpInfo spid="_x0000_s1048"/>
    <customShpInfo spid="_x0000_s1046"/>
    <customShpInfo spid="_x0000_s1045"/>
    <customShpInfo spid="_x0000_s1088"/>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231B26-B969-441D-9F39-EC9F886F182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20958</Words>
  <Characters>23266</Characters>
  <Lines>43</Lines>
  <Paragraphs>59</Paragraphs>
  <TotalTime>13</TotalTime>
  <ScaleCrop>false</ScaleCrop>
  <LinksUpToDate>false</LinksUpToDate>
  <CharactersWithSpaces>23499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WPS_1178779678</cp:lastModifiedBy>
  <cp:lastPrinted>2022-08-01T10:03:00Z</cp:lastPrinted>
  <dcterms:modified xsi:type="dcterms:W3CDTF">2024-05-29T03:01:00Z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48C08BB62BE245AD8F32D2F2315F3AB2</vt:lpwstr>
  </property>
</Properties>
</file>