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7974" w:type="dxa"/>
        <w:jc w:val="center"/>
        <w:tblCellSpacing w:w="0" w:type="dxa"/>
        <w:tblInd w:w="0" w:type="dxa"/>
        <w:tblLayout w:type="fixed"/>
        <w:tblCellMar>
          <w:top w:w="0" w:type="dxa"/>
          <w:left w:w="0" w:type="dxa"/>
          <w:bottom w:w="0" w:type="dxa"/>
          <w:right w:w="0" w:type="dxa"/>
        </w:tblCellMar>
      </w:tblPr>
      <w:tblGrid>
        <w:gridCol w:w="7974"/>
      </w:tblGrid>
      <w:tr>
        <w:tblPrEx>
          <w:tblLayout w:type="fixed"/>
        </w:tblPrEx>
        <w:trPr>
          <w:tblCellSpacing w:w="0" w:type="dxa"/>
          <w:jc w:val="center"/>
        </w:trPr>
        <w:tc>
          <w:tcPr>
            <w:tcW w:w="7974" w:type="dxa"/>
            <w:vAlign w:val="center"/>
          </w:tcPr>
          <w:p>
            <w:pPr>
              <w:widowControl/>
              <w:spacing w:line="611" w:lineRule="atLeast"/>
              <w:jc w:val="cente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t>海东市化隆县电子商务进农村综合示范</w:t>
            </w:r>
          </w:p>
          <w:p>
            <w:pPr>
              <w:widowControl/>
              <w:spacing w:line="611" w:lineRule="atLeast"/>
              <w:jc w:val="center"/>
              <w:rPr>
                <w:rFonts w:ascii="黑体" w:hAnsi="黑体" w:eastAsia="黑体" w:cs="宋体"/>
                <w:bCs/>
                <w:color w:val="000000" w:themeColor="text1"/>
                <w:kern w:val="0"/>
                <w:sz w:val="40"/>
                <w:szCs w:val="40"/>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t>项目资金管理办法</w:t>
            </w:r>
          </w:p>
        </w:tc>
      </w:tr>
      <w:tr>
        <w:tblPrEx>
          <w:tblLayout w:type="fixed"/>
          <w:tblCellMar>
            <w:top w:w="0" w:type="dxa"/>
            <w:left w:w="0" w:type="dxa"/>
            <w:bottom w:w="0" w:type="dxa"/>
            <w:right w:w="0" w:type="dxa"/>
          </w:tblCellMar>
        </w:tblPrEx>
        <w:trPr>
          <w:tblCellSpacing w:w="0" w:type="dxa"/>
          <w:jc w:val="center"/>
        </w:trPr>
        <w:tc>
          <w:tcPr>
            <w:tcW w:w="7974" w:type="dxa"/>
          </w:tcPr>
          <w:tbl>
            <w:tblPr>
              <w:tblStyle w:val="5"/>
              <w:tblW w:w="7974" w:type="dxa"/>
              <w:tblCellSpacing w:w="0" w:type="dxa"/>
              <w:tblInd w:w="0" w:type="dxa"/>
              <w:tblLayout w:type="fixed"/>
              <w:tblCellMar>
                <w:top w:w="0" w:type="dxa"/>
                <w:left w:w="0" w:type="dxa"/>
                <w:bottom w:w="0" w:type="dxa"/>
                <w:right w:w="0" w:type="dxa"/>
              </w:tblCellMar>
            </w:tblPr>
            <w:tblGrid>
              <w:gridCol w:w="7974"/>
            </w:tblGrid>
            <w:tr>
              <w:tblPrEx>
                <w:tblLayout w:type="fixed"/>
                <w:tblCellMar>
                  <w:top w:w="0" w:type="dxa"/>
                  <w:left w:w="0" w:type="dxa"/>
                  <w:bottom w:w="0" w:type="dxa"/>
                  <w:right w:w="0" w:type="dxa"/>
                </w:tblCellMar>
              </w:tblPrEx>
              <w:trPr>
                <w:trHeight w:val="360" w:hRule="atLeast"/>
                <w:tblCellSpacing w:w="0" w:type="dxa"/>
              </w:trPr>
              <w:tc>
                <w:tcPr>
                  <w:tcW w:w="7974" w:type="dxa"/>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r>
          </w:tbl>
          <w:p>
            <w:pPr>
              <w:widowControl/>
              <w:jc w:val="left"/>
              <w:rPr>
                <w:rFonts w:ascii="微软雅黑" w:hAnsi="微软雅黑" w:eastAsia="微软雅黑" w:cs="宋体"/>
                <w:color w:val="000000" w:themeColor="text1"/>
                <w:kern w:val="0"/>
                <w:sz w:val="27"/>
                <w:szCs w:val="27"/>
                <w14:textFill>
                  <w14:solidFill>
                    <w14:schemeClr w14:val="tx1"/>
                  </w14:solidFill>
                </w14:textFill>
              </w:rPr>
            </w:pPr>
          </w:p>
        </w:tc>
      </w:tr>
      <w:tr>
        <w:tblPrEx>
          <w:tblLayout w:type="fixed"/>
          <w:tblCellMar>
            <w:top w:w="0" w:type="dxa"/>
            <w:left w:w="0" w:type="dxa"/>
            <w:bottom w:w="0" w:type="dxa"/>
            <w:right w:w="0" w:type="dxa"/>
          </w:tblCellMar>
        </w:tblPrEx>
        <w:trPr>
          <w:trHeight w:val="240" w:hRule="atLeast"/>
          <w:tblCellSpacing w:w="0" w:type="dxa"/>
          <w:jc w:val="center"/>
        </w:trPr>
        <w:tc>
          <w:tcPr>
            <w:tcW w:w="7974" w:type="dxa"/>
            <w:vAlign w:val="center"/>
          </w:tcPr>
          <w:p>
            <w:pPr>
              <w:widowControl/>
              <w:jc w:val="left"/>
              <w:rPr>
                <w:rFonts w:ascii="微软雅黑" w:hAnsi="微软雅黑" w:eastAsia="微软雅黑" w:cs="宋体"/>
                <w:color w:val="000000" w:themeColor="text1"/>
                <w:kern w:val="0"/>
                <w:sz w:val="24"/>
                <w:szCs w:val="27"/>
                <w14:textFill>
                  <w14:solidFill>
                    <w14:schemeClr w14:val="tx1"/>
                  </w14:solidFill>
                </w14:textFill>
              </w:rPr>
            </w:pPr>
          </w:p>
        </w:tc>
      </w:tr>
      <w:tr>
        <w:tblPrEx>
          <w:tblLayout w:type="fixed"/>
          <w:tblCellMar>
            <w:top w:w="0" w:type="dxa"/>
            <w:left w:w="0" w:type="dxa"/>
            <w:bottom w:w="0" w:type="dxa"/>
            <w:right w:w="0" w:type="dxa"/>
          </w:tblCellMar>
        </w:tblPrEx>
        <w:trPr>
          <w:tblCellSpacing w:w="0" w:type="dxa"/>
          <w:jc w:val="center"/>
        </w:trPr>
        <w:tc>
          <w:tcPr>
            <w:tcW w:w="7974" w:type="dxa"/>
          </w:tcPr>
          <w:p>
            <w:pPr>
              <w:widowControl/>
              <w:spacing w:line="520" w:lineRule="atLeast"/>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第一章</w:t>
            </w:r>
            <w:r>
              <w:rPr>
                <w:rFonts w:hint="eastAsia" w:ascii="宋体" w:hAnsi="宋体" w:eastAsia="黑体" w:cs="宋体"/>
                <w:color w:val="000000" w:themeColor="text1"/>
                <w:kern w:val="0"/>
                <w:sz w:val="32"/>
                <w:szCs w:val="32"/>
                <w14:textFill>
                  <w14:solidFill>
                    <w14:schemeClr w14:val="tx1"/>
                  </w14:solidFill>
                </w14:textFill>
              </w:rPr>
              <w:t> </w:t>
            </w:r>
            <w:r>
              <w:rPr>
                <w:rFonts w:hint="eastAsia" w:ascii="黑体" w:hAnsi="黑体" w:eastAsia="黑体" w:cs="宋体"/>
                <w:color w:val="000000" w:themeColor="text1"/>
                <w:kern w:val="0"/>
                <w:sz w:val="32"/>
                <w:szCs w:val="32"/>
                <w14:textFill>
                  <w14:solidFill>
                    <w14:schemeClr w14:val="tx1"/>
                  </w14:solidFill>
                </w14:textFill>
              </w:rPr>
              <w:t>总</w:t>
            </w:r>
            <w:r>
              <w:rPr>
                <w:rFonts w:hint="eastAsia" w:ascii="宋体" w:hAnsi="宋体" w:eastAsia="黑体" w:cs="宋体"/>
                <w:color w:val="000000" w:themeColor="text1"/>
                <w:kern w:val="0"/>
                <w:sz w:val="32"/>
                <w:szCs w:val="32"/>
                <w14:textFill>
                  <w14:solidFill>
                    <w14:schemeClr w14:val="tx1"/>
                  </w14:solidFill>
                </w14:textFill>
              </w:rPr>
              <w:t> </w:t>
            </w:r>
            <w:r>
              <w:rPr>
                <w:rFonts w:hint="eastAsia" w:ascii="黑体" w:hAnsi="黑体" w:eastAsia="黑体" w:cs="宋体"/>
                <w:color w:val="000000" w:themeColor="text1"/>
                <w:kern w:val="0"/>
                <w:sz w:val="32"/>
                <w:szCs w:val="32"/>
                <w14:textFill>
                  <w14:solidFill>
                    <w14:schemeClr w14:val="tx1"/>
                  </w14:solidFill>
                </w14:textFill>
              </w:rPr>
              <w:t>则</w:t>
            </w:r>
          </w:p>
          <w:p>
            <w:pPr>
              <w:widowControl/>
              <w:spacing w:line="520" w:lineRule="atLeast"/>
              <w:ind w:firstLine="64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第一条</w:t>
            </w:r>
            <w:r>
              <w:rPr>
                <w:rFonts w:hint="eastAsia" w:ascii="仿宋_GB2312" w:hAnsi="仿宋_GB2312" w:eastAsia="仿宋_GB2312" w:cs="仿宋_GB2312"/>
                <w:color w:val="000000" w:themeColor="text1"/>
                <w:kern w:val="0"/>
                <w:sz w:val="32"/>
                <w:szCs w:val="32"/>
                <w14:textFill>
                  <w14:solidFill>
                    <w14:schemeClr w14:val="tx1"/>
                  </w14:solidFill>
                </w14:textFill>
              </w:rPr>
              <w:t>为推进我县电子商务事业的发展,优化电子商务产业布局,规范电子商务进农村综合示范专项资金的管理，充分发挥专项资金使用效益，根据青海省商务厅、财政厅、扶贫开发局《关于组织实施2019年电子商务进农村综合示范县建设工作的通知》</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(青商建字〔2020〕79号)和青海省财政厅、商务厅《关于印发（青海省商贸流通服务业发展专项资金管理办法）的通知》》(青财建字〔2014〕1960号)</w:t>
            </w:r>
            <w:r>
              <w:rPr>
                <w:rFonts w:hint="eastAsia" w:ascii="仿宋_GB2312" w:hAnsi="仿宋_GB2312" w:eastAsia="仿宋_GB2312" w:cs="仿宋_GB2312"/>
                <w:color w:val="000000" w:themeColor="text1"/>
                <w:kern w:val="0"/>
                <w:sz w:val="32"/>
                <w:szCs w:val="32"/>
                <w14:textFill>
                  <w14:solidFill>
                    <w14:schemeClr w14:val="tx1"/>
                  </w14:solidFill>
                </w14:textFill>
              </w:rPr>
              <w:t>等文件要求，制定本办法。</w:t>
            </w:r>
          </w:p>
          <w:p>
            <w:pPr>
              <w:widowControl/>
              <w:spacing w:line="520" w:lineRule="atLeast"/>
              <w:ind w:firstLine="64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第二条</w:t>
            </w:r>
            <w:r>
              <w:rPr>
                <w:rFonts w:hint="eastAsia" w:ascii="仿宋_GB2312" w:hAnsi="仿宋_GB2312" w:eastAsia="仿宋_GB2312" w:cs="仿宋_GB2312"/>
                <w:color w:val="000000" w:themeColor="text1"/>
                <w:kern w:val="0"/>
                <w:sz w:val="32"/>
                <w:szCs w:val="32"/>
                <w14:textFill>
                  <w14:solidFill>
                    <w14:schemeClr w14:val="tx1"/>
                  </w14:solidFill>
                </w14:textFill>
              </w:rPr>
              <w:t>本办法中的专项资金是指上级专项电子商务进农村综合示范资金（以下简称“专项资金”），专项用于开展电子商务进农村综合示范项目建设。</w:t>
            </w:r>
          </w:p>
          <w:p>
            <w:pPr>
              <w:widowControl/>
              <w:spacing w:line="520" w:lineRule="atLeast"/>
              <w:ind w:firstLine="643"/>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第三条</w:t>
            </w:r>
            <w:r>
              <w:rPr>
                <w:rFonts w:hint="eastAsia" w:ascii="仿宋_GB2312" w:hAnsi="仿宋_GB2312" w:eastAsia="仿宋_GB2312" w:cs="仿宋_GB2312"/>
                <w:color w:val="000000" w:themeColor="text1"/>
                <w:kern w:val="0"/>
                <w:sz w:val="32"/>
                <w:szCs w:val="32"/>
                <w14:textFill>
                  <w14:solidFill>
                    <w14:schemeClr w14:val="tx1"/>
                  </w14:solidFill>
                </w14:textFill>
              </w:rPr>
              <w:t>专项资金由县财政局会同县工业商务和信息化局共同管理，专款专用，接受上级有关部门的专项检查、纪检、审计及社会监督。</w:t>
            </w:r>
          </w:p>
          <w:p>
            <w:pPr>
              <w:widowControl/>
              <w:spacing w:line="520" w:lineRule="atLeast"/>
              <w:ind w:firstLine="64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第四条</w:t>
            </w:r>
            <w:r>
              <w:rPr>
                <w:rFonts w:hint="eastAsia" w:ascii="仿宋_GB2312" w:hAnsi="仿宋_GB2312" w:eastAsia="仿宋_GB2312" w:cs="仿宋_GB2312"/>
                <w:color w:val="000000" w:themeColor="text1"/>
                <w:kern w:val="0"/>
                <w:sz w:val="32"/>
                <w:szCs w:val="32"/>
                <w14:textFill>
                  <w14:solidFill>
                    <w14:schemeClr w14:val="tx1"/>
                  </w14:solidFill>
                </w14:textFill>
              </w:rPr>
              <w:t>专项资金使用应遵循“公开、择优、规范、实效、不重复补贴”原则，严格按照政府采购要求以及第四批全国电子商务进农村综合示范县项目等相关支付政策进行具体拨付。</w:t>
            </w:r>
          </w:p>
          <w:p>
            <w:pPr>
              <w:widowControl/>
              <w:spacing w:line="520" w:lineRule="atLeast"/>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第二章</w:t>
            </w:r>
            <w:r>
              <w:rPr>
                <w:rFonts w:hint="eastAsia" w:ascii="宋体" w:hAnsi="宋体" w:eastAsia="黑体" w:cs="宋体"/>
                <w:color w:val="000000" w:themeColor="text1"/>
                <w:kern w:val="0"/>
                <w:sz w:val="32"/>
                <w:szCs w:val="32"/>
                <w14:textFill>
                  <w14:solidFill>
                    <w14:schemeClr w14:val="tx1"/>
                  </w14:solidFill>
                </w14:textFill>
              </w:rPr>
              <w:t> </w:t>
            </w:r>
            <w:r>
              <w:rPr>
                <w:rFonts w:hint="eastAsia" w:ascii="黑体" w:hAnsi="黑体" w:eastAsia="黑体" w:cs="宋体"/>
                <w:color w:val="000000" w:themeColor="text1"/>
                <w:kern w:val="0"/>
                <w:sz w:val="32"/>
                <w:szCs w:val="32"/>
                <w14:textFill>
                  <w14:solidFill>
                    <w14:schemeClr w14:val="tx1"/>
                  </w14:solidFill>
                </w14:textFill>
              </w:rPr>
              <w:t>资金支持范围</w:t>
            </w:r>
          </w:p>
          <w:p>
            <w:pPr>
              <w:widowControl/>
              <w:spacing w:line="520" w:lineRule="atLeast"/>
              <w:ind w:firstLine="64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第五条</w:t>
            </w:r>
            <w:r>
              <w:rPr>
                <w:rFonts w:hint="eastAsia" w:ascii="仿宋_GB2312" w:hAnsi="仿宋_GB2312" w:eastAsia="仿宋_GB2312" w:cs="仿宋_GB2312"/>
                <w:color w:val="000000" w:themeColor="text1"/>
                <w:kern w:val="0"/>
                <w:sz w:val="32"/>
                <w:szCs w:val="32"/>
                <w14:textFill>
                  <w14:solidFill>
                    <w14:schemeClr w14:val="tx1"/>
                  </w14:solidFill>
                </w14:textFill>
              </w:rPr>
              <w:t>专项资金支持范围和标准严格按照《化隆县创建电子商务进农村综合示范县建设项目暨智慧拉面信息化服务平台建设项目实施方案》文件中要求进行执行。</w:t>
            </w:r>
          </w:p>
          <w:p>
            <w:pPr>
              <w:widowControl/>
              <w:spacing w:line="520" w:lineRule="atLeast"/>
              <w:ind w:firstLine="6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第六条</w:t>
            </w:r>
            <w:r>
              <w:rPr>
                <w:rFonts w:hint="eastAsia" w:ascii="仿宋_GB2312" w:hAnsi="仿宋_GB2312" w:eastAsia="仿宋_GB2312" w:cs="仿宋_GB2312"/>
                <w:color w:val="000000" w:themeColor="text1"/>
                <w:kern w:val="0"/>
                <w:sz w:val="32"/>
                <w:szCs w:val="32"/>
                <w14:textFill>
                  <w14:solidFill>
                    <w14:schemeClr w14:val="tx1"/>
                  </w14:solidFill>
                </w14:textFill>
              </w:rPr>
              <w:t>专项资金主要用于化隆县电子商务进农村项目建设支出，要最大限度利用社会化资源，避免重复建设和资源浪费；不得用于征地拆迁、人员经费等经常性开支以及提取工作经费；其中，中央财政资金不得用于网络交易平台、楼堂馆所建设、工作经费及购买流量，不得用于发放津补贴、奖金、福利，不得用于平衡财政预算或挪作他用。</w:t>
            </w:r>
          </w:p>
          <w:p>
            <w:pPr>
              <w:widowControl/>
              <w:spacing w:line="520" w:lineRule="atLeast"/>
              <w:jc w:val="center"/>
              <w:rPr>
                <w:rFonts w:ascii="黑体" w:hAnsi="黑体" w:eastAsia="黑体" w:cs="宋体"/>
                <w:color w:val="000000" w:themeColor="text1"/>
                <w:kern w:val="0"/>
                <w:sz w:val="18"/>
                <w:szCs w:val="18"/>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第三章</w:t>
            </w:r>
            <w:r>
              <w:rPr>
                <w:rFonts w:hint="eastAsia" w:ascii="宋体" w:hAnsi="宋体" w:eastAsia="黑体" w:cs="宋体"/>
                <w:color w:val="000000" w:themeColor="text1"/>
                <w:kern w:val="0"/>
                <w:sz w:val="32"/>
                <w:szCs w:val="32"/>
                <w14:textFill>
                  <w14:solidFill>
                    <w14:schemeClr w14:val="tx1"/>
                  </w14:solidFill>
                </w14:textFill>
              </w:rPr>
              <w:t> </w:t>
            </w:r>
            <w:r>
              <w:rPr>
                <w:rFonts w:hint="eastAsia" w:ascii="黑体" w:hAnsi="黑体" w:eastAsia="黑体" w:cs="宋体"/>
                <w:color w:val="000000" w:themeColor="text1"/>
                <w:kern w:val="0"/>
                <w:sz w:val="32"/>
                <w:szCs w:val="32"/>
                <w14:textFill>
                  <w14:solidFill>
                    <w14:schemeClr w14:val="tx1"/>
                  </w14:solidFill>
                </w14:textFill>
              </w:rPr>
              <w:t>项目资金拨付</w:t>
            </w:r>
          </w:p>
          <w:p>
            <w:pPr>
              <w:widowControl/>
              <w:spacing w:line="520" w:lineRule="atLeast"/>
              <w:ind w:firstLine="643"/>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第七条</w:t>
            </w:r>
            <w:r>
              <w:rPr>
                <w:rFonts w:hint="eastAsia" w:ascii="仿宋_GB2312" w:hAnsi="仿宋_GB2312" w:eastAsia="仿宋_GB2312" w:cs="仿宋_GB2312"/>
                <w:color w:val="000000" w:themeColor="text1"/>
                <w:kern w:val="0"/>
                <w:sz w:val="32"/>
                <w:szCs w:val="32"/>
                <w14:textFill>
                  <w14:solidFill>
                    <w14:schemeClr w14:val="tx1"/>
                  </w14:solidFill>
                </w14:textFill>
              </w:rPr>
              <w:t>《化隆县创建电子商务进农村综合示范县建设项目暨智慧拉面信息化服务平台建设项目实施方案》作为专项资金支出预算的主要依据。项目资金拨付由承办单位(企业)向县工业商务和信息化局提出拨付申请，并附相关资料。</w:t>
            </w:r>
          </w:p>
          <w:p>
            <w:pPr>
              <w:widowControl/>
              <w:spacing w:line="520" w:lineRule="atLeast"/>
              <w:ind w:firstLine="643"/>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第八条</w:t>
            </w:r>
            <w:r>
              <w:rPr>
                <w:rFonts w:hint="eastAsia" w:ascii="仿宋_GB2312" w:hAnsi="仿宋_GB2312" w:eastAsia="仿宋_GB2312" w:cs="仿宋_GB2312"/>
                <w:color w:val="000000" w:themeColor="text1"/>
                <w:kern w:val="0"/>
                <w:sz w:val="32"/>
                <w:szCs w:val="32"/>
                <w14:textFill>
                  <w14:solidFill>
                    <w14:schemeClr w14:val="tx1"/>
                  </w14:solidFill>
                </w14:textFill>
              </w:rPr>
              <w:t>县工业商务和信息化局对承办单位（企业）所申报的材料进行初审，并组织财政、扶贫等部门进行审查，审查合格后拨付相应资金。</w:t>
            </w:r>
          </w:p>
          <w:p>
            <w:pPr>
              <w:widowControl/>
              <w:spacing w:line="520" w:lineRule="atLeast"/>
              <w:ind w:firstLine="643"/>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第九条</w:t>
            </w:r>
            <w:r>
              <w:rPr>
                <w:rFonts w:hint="eastAsia" w:ascii="仿宋_GB2312" w:hAnsi="仿宋_GB2312" w:eastAsia="仿宋_GB2312" w:cs="仿宋_GB2312"/>
                <w:color w:val="000000" w:themeColor="text1"/>
                <w:kern w:val="0"/>
                <w:sz w:val="32"/>
                <w:szCs w:val="32"/>
                <w14:textFill>
                  <w14:solidFill>
                    <w14:schemeClr w14:val="tx1"/>
                  </w14:solidFill>
                </w14:textFill>
              </w:rPr>
              <w:t>未经验收的项目，原则上同意可按合同要求、视情况预拨部分资金用于支持该项目建设，待建设项目如期完成并由相关部门验收合格通过后再拨付剩余部分资金。</w:t>
            </w:r>
          </w:p>
          <w:p>
            <w:pPr>
              <w:widowControl/>
              <w:spacing w:line="520" w:lineRule="atLeast"/>
              <w:ind w:firstLine="643"/>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第十条</w:t>
            </w:r>
            <w:r>
              <w:rPr>
                <w:rFonts w:hint="eastAsia" w:ascii="仿宋_GB2312" w:hAnsi="仿宋_GB2312" w:eastAsia="仿宋_GB2312" w:cs="仿宋_GB2312"/>
                <w:color w:val="000000" w:themeColor="text1"/>
                <w:kern w:val="0"/>
                <w:sz w:val="32"/>
                <w:szCs w:val="32"/>
                <w14:textFill>
                  <w14:solidFill>
                    <w14:schemeClr w14:val="tx1"/>
                  </w14:solidFill>
                </w14:textFill>
              </w:rPr>
              <w:t>项目承办单位(企业)收到专项资金后，应严格执行项目资金使用的有关规定，于每月月底向县工业商务和信息化局提交书面材料，报告项目建设进度及资金使用情况。</w:t>
            </w:r>
          </w:p>
          <w:p>
            <w:pPr>
              <w:widowControl/>
              <w:spacing w:line="520" w:lineRule="atLeast"/>
              <w:jc w:val="center"/>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第四章</w:t>
            </w:r>
            <w:r>
              <w:rPr>
                <w:rFonts w:hint="eastAsia" w:ascii="黑体" w:hAnsi="黑体" w:eastAsia="黑体" w:cs="宋体"/>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宋体"/>
                <w:color w:val="000000" w:themeColor="text1"/>
                <w:kern w:val="0"/>
                <w:sz w:val="32"/>
                <w:szCs w:val="32"/>
                <w14:textFill>
                  <w14:solidFill>
                    <w14:schemeClr w14:val="tx1"/>
                  </w14:solidFill>
                </w14:textFill>
              </w:rPr>
              <w:t>资金监管</w:t>
            </w:r>
          </w:p>
          <w:p>
            <w:pPr>
              <w:widowControl/>
              <w:spacing w:line="520" w:lineRule="atLeast"/>
              <w:ind w:firstLine="643"/>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第十一条</w:t>
            </w:r>
            <w:r>
              <w:rPr>
                <w:rFonts w:hint="eastAsia" w:ascii="仿宋_GB2312" w:hAnsi="仿宋_GB2312" w:eastAsia="仿宋_GB2312" w:cs="仿宋_GB2312"/>
                <w:color w:val="000000" w:themeColor="text1"/>
                <w:kern w:val="0"/>
                <w:sz w:val="32"/>
                <w:szCs w:val="32"/>
                <w14:textFill>
                  <w14:solidFill>
                    <w14:schemeClr w14:val="tx1"/>
                  </w14:solidFill>
                </w14:textFill>
              </w:rPr>
              <w:t>专项资金必须专款专用，获得资金支持的项目单位（企业）收到资金后，应当按照国家有关财务、会计制度的规定进行账务处理，严格按照规定使用资金，并自觉接受工信、财政、审计等部门的监督检查。对违反规定使用专项资金的单位(企业)一经查实，将全额追回已拨付的款项，并取消该单位(企业)项目承办资格,三年内不得申报本县范围内其他任何电子商务扶持资金项目。</w:t>
            </w:r>
          </w:p>
          <w:p>
            <w:pPr>
              <w:widowControl/>
              <w:spacing w:line="520" w:lineRule="atLeast"/>
              <w:ind w:firstLine="643"/>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第十二条</w:t>
            </w:r>
            <w:r>
              <w:rPr>
                <w:rFonts w:hint="eastAsia" w:ascii="仿宋_GB2312" w:hAnsi="仿宋_GB2312" w:eastAsia="仿宋_GB2312" w:cs="仿宋_GB2312"/>
                <w:color w:val="000000" w:themeColor="text1"/>
                <w:kern w:val="0"/>
                <w:sz w:val="32"/>
                <w:szCs w:val="32"/>
                <w14:textFill>
                  <w14:solidFill>
                    <w14:schemeClr w14:val="tx1"/>
                  </w14:solidFill>
                </w14:textFill>
              </w:rPr>
              <w:t>相关单位应当按照国家档案管理有关规定妥善保管申请和审核资料，做到资料详实、手续齐备、程序合法合规，以备核查。</w:t>
            </w:r>
          </w:p>
          <w:p>
            <w:pPr>
              <w:widowControl/>
              <w:spacing w:line="520" w:lineRule="atLeast"/>
              <w:ind w:firstLine="643"/>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第十三条</w:t>
            </w:r>
            <w:r>
              <w:rPr>
                <w:rFonts w:hint="eastAsia" w:ascii="仿宋_GB2312" w:hAnsi="仿宋_GB2312" w:eastAsia="仿宋_GB2312" w:cs="仿宋_GB2312"/>
                <w:color w:val="000000" w:themeColor="text1"/>
                <w:kern w:val="0"/>
                <w:sz w:val="32"/>
                <w:szCs w:val="32"/>
                <w14:textFill>
                  <w14:solidFill>
                    <w14:schemeClr w14:val="tx1"/>
                  </w14:solidFill>
                </w14:textFill>
              </w:rPr>
              <w:t>县财政局定期或不定期对专项资金使用情况进行监督审核。县工业商务和信息化局定期或不定期对项目实施情况进行监督检查。</w:t>
            </w:r>
          </w:p>
          <w:p>
            <w:pPr>
              <w:widowControl/>
              <w:spacing w:line="520" w:lineRule="atLeast"/>
              <w:ind w:firstLine="643"/>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第十四条</w:t>
            </w:r>
            <w:r>
              <w:rPr>
                <w:rFonts w:hint="eastAsia" w:ascii="仿宋_GB2312" w:hAnsi="仿宋_GB2312" w:eastAsia="仿宋_GB2312" w:cs="仿宋_GB2312"/>
                <w:color w:val="000000" w:themeColor="text1"/>
                <w:kern w:val="0"/>
                <w:sz w:val="32"/>
                <w:szCs w:val="32"/>
                <w14:textFill>
                  <w14:solidFill>
                    <w14:schemeClr w14:val="tx1"/>
                  </w14:solidFill>
                </w14:textFill>
              </w:rPr>
              <w:t>任何单位和个人违反专项资金管理规定，凡发生（现）虚报、骗取、挪用电子商务进农村专项资金等违法行为的，按《</w:t>
            </w:r>
            <w:bookmarkStart w:id="0" w:name="_GoBack"/>
            <w:r>
              <w:rPr>
                <w:rFonts w:hint="eastAsia" w:ascii="仿宋_GB2312" w:hAnsi="仿宋_GB2312" w:eastAsia="仿宋_GB2312" w:cs="仿宋_GB2312"/>
                <w:color w:val="000000" w:themeColor="text1"/>
                <w:kern w:val="0"/>
                <w:sz w:val="32"/>
                <w:szCs w:val="32"/>
                <w14:textFill>
                  <w14:solidFill>
                    <w14:schemeClr w14:val="tx1"/>
                  </w14:solidFill>
                </w14:textFill>
              </w:rPr>
              <w:t>财政违法行</w:t>
            </w:r>
            <w:bookmarkEnd w:id="0"/>
            <w:r>
              <w:rPr>
                <w:rFonts w:hint="eastAsia" w:ascii="仿宋_GB2312" w:hAnsi="仿宋_GB2312" w:eastAsia="仿宋_GB2312" w:cs="仿宋_GB2312"/>
                <w:color w:val="000000" w:themeColor="text1"/>
                <w:kern w:val="0"/>
                <w:sz w:val="32"/>
                <w:szCs w:val="32"/>
                <w14:textFill>
                  <w14:solidFill>
                    <w14:schemeClr w14:val="tx1"/>
                  </w14:solidFill>
                </w14:textFill>
              </w:rPr>
              <w:t>为处罚处分条例》（国务院令427号）等有关法律法规进行处罚。</w:t>
            </w:r>
          </w:p>
          <w:p>
            <w:pPr>
              <w:widowControl/>
              <w:spacing w:line="520" w:lineRule="atLeast"/>
              <w:jc w:val="center"/>
              <w:rPr>
                <w:rFonts w:ascii="黑体" w:hAnsi="黑体" w:eastAsia="黑体" w:cs="宋体"/>
                <w:color w:val="000000" w:themeColor="text1"/>
                <w:kern w:val="0"/>
                <w:sz w:val="18"/>
                <w:szCs w:val="18"/>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第五章</w:t>
            </w:r>
            <w:r>
              <w:rPr>
                <w:rFonts w:hint="eastAsia" w:ascii="黑体" w:hAnsi="黑体" w:eastAsia="黑体" w:cs="宋体"/>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宋体"/>
                <w:color w:val="000000" w:themeColor="text1"/>
                <w:kern w:val="0"/>
                <w:sz w:val="32"/>
                <w:szCs w:val="32"/>
                <w14:textFill>
                  <w14:solidFill>
                    <w14:schemeClr w14:val="tx1"/>
                  </w14:solidFill>
                </w14:textFill>
              </w:rPr>
              <w:t>附则</w:t>
            </w:r>
          </w:p>
          <w:p>
            <w:pPr>
              <w:widowControl/>
              <w:spacing w:line="520" w:lineRule="atLeast"/>
              <w:ind w:firstLine="643"/>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第十五条</w:t>
            </w:r>
            <w:r>
              <w:rPr>
                <w:rFonts w:hint="eastAsia" w:ascii="仿宋_GB2312" w:hAnsi="仿宋_GB2312" w:eastAsia="仿宋_GB2312" w:cs="仿宋_GB2312"/>
                <w:color w:val="000000" w:themeColor="text1"/>
                <w:kern w:val="0"/>
                <w:sz w:val="32"/>
                <w:szCs w:val="32"/>
                <w14:textFill>
                  <w14:solidFill>
                    <w14:schemeClr w14:val="tx1"/>
                  </w14:solidFill>
                </w14:textFill>
              </w:rPr>
              <w:t>本办法自印发之日起施行，由县工业商务和信息化局、县财政局负责解释。</w:t>
            </w:r>
          </w:p>
          <w:p>
            <w:pPr>
              <w:widowControl/>
              <w:spacing w:before="100" w:beforeAutospacing="1" w:after="100" w:afterAutospacing="1" w:line="349" w:lineRule="atLeast"/>
              <w:jc w:val="left"/>
              <w:rPr>
                <w:rFonts w:ascii="仿宋" w:hAnsi="仿宋" w:eastAsia="仿宋" w:cs="宋体"/>
                <w:color w:val="000000" w:themeColor="text1"/>
                <w:kern w:val="0"/>
                <w:sz w:val="24"/>
                <w:szCs w:val="24"/>
                <w14:textFill>
                  <w14:solidFill>
                    <w14:schemeClr w14:val="tx1"/>
                  </w14:solidFill>
                </w14:textFill>
              </w:rPr>
            </w:pPr>
            <w:r>
              <w:rPr>
                <w:rFonts w:ascii="Calibri" w:hAnsi="Calibri" w:eastAsia="仿宋" w:cs="Calibri"/>
                <w:color w:val="000000" w:themeColor="text1"/>
                <w:kern w:val="0"/>
                <w:szCs w:val="21"/>
                <w14:textFill>
                  <w14:solidFill>
                    <w14:schemeClr w14:val="tx1"/>
                  </w14:solidFill>
                </w14:textFill>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162A7"/>
    <w:rsid w:val="002162A7"/>
    <w:rsid w:val="0044164B"/>
    <w:rsid w:val="007A700E"/>
    <w:rsid w:val="007B6496"/>
    <w:rsid w:val="008B23AD"/>
    <w:rsid w:val="00A3377B"/>
    <w:rsid w:val="00AA18E1"/>
    <w:rsid w:val="00E5212F"/>
    <w:rsid w:val="00F64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p"/>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217</Words>
  <Characters>1239</Characters>
  <Lines>10</Lines>
  <Paragraphs>2</Paragraphs>
  <TotalTime>3</TotalTime>
  <ScaleCrop>false</ScaleCrop>
  <LinksUpToDate>false</LinksUpToDate>
  <CharactersWithSpaces>1454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2020-12-25T02:38:00Z</dcterms:created>
  <dc:creator>Administrator</dc:creator>
  <cp:lastModifiedBy>lenovo</cp:lastModifiedBy>
  <dcterms:modified xsi:type="dcterms:W3CDTF">2021-02-22T09:02:23Z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