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967" w:type="dxa"/>
        <w:tblInd w:w="0" w:type="dxa"/>
        <w:tblLayout w:type="fixed"/>
        <w:tblCellMar>
          <w:top w:w="0" w:type="dxa"/>
          <w:left w:w="0" w:type="dxa"/>
          <w:bottom w:w="0" w:type="dxa"/>
          <w:right w:w="0" w:type="dxa"/>
        </w:tblCellMar>
        <w:tblLook w:val="0600" w:firstRow="0" w:lastRow="0" w:firstColumn="0" w:lastColumn="0" w:noHBand="1" w:noVBand="1"/>
      </w:tblPr>
      <w:tblGrid>
        <w:gridCol w:w="488"/>
        <w:gridCol w:w="1286"/>
        <w:gridCol w:w="1510"/>
        <w:gridCol w:w="525"/>
        <w:gridCol w:w="547"/>
        <w:gridCol w:w="643"/>
        <w:gridCol w:w="696"/>
        <w:gridCol w:w="632"/>
        <w:gridCol w:w="798"/>
        <w:gridCol w:w="782"/>
        <w:gridCol w:w="8537"/>
        <w:gridCol w:w="675"/>
        <w:gridCol w:w="715"/>
        <w:gridCol w:w="2124"/>
        <w:gridCol w:w="520"/>
        <w:gridCol w:w="429"/>
        <w:gridCol w:w="60"/>
      </w:tblGrid>
      <w:tr>
        <w:tblPrEx>
          <w:tblW w:w="20967" w:type="dxa"/>
          <w:tblInd w:w="0" w:type="dxa"/>
          <w:tblLayout w:type="fixed"/>
          <w:tblCellMar>
            <w:top w:w="0" w:type="dxa"/>
            <w:left w:w="0" w:type="dxa"/>
            <w:bottom w:w="0" w:type="dxa"/>
            <w:right w:w="0" w:type="dxa"/>
          </w:tblCellMar>
        </w:tblPrEx>
        <w:trPr>
          <w:gridAfter w:val="1"/>
          <w:wAfter w:w="60" w:type="dxa"/>
          <w:trHeight w:val="836"/>
        </w:trPr>
        <w:tc>
          <w:tcPr>
            <w:tcW w:w="20907"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
                <w:color w:val="000000"/>
                <w:kern w:val="0"/>
                <w:sz w:val="18"/>
                <w:szCs w:val="18"/>
              </w:rPr>
              <w:t xml:space="preserve">化隆县退役军人事务局责任清单</w:t>
            </w:r>
          </w:p>
        </w:tc>
      </w:tr>
      <w:tr>
        <w:tblPrEx>
          <w:tblW w:w="20967" w:type="dxa"/>
          <w:tblInd w:w="0" w:type="dxa"/>
          <w:tblLayout w:type="fixed"/>
          <w:tblCellMar>
            <w:top w:w="0" w:type="dxa"/>
            <w:left w:w="0" w:type="dxa"/>
            <w:bottom w:w="0" w:type="dxa"/>
            <w:right w:w="0" w:type="dxa"/>
          </w:tblCellMar>
        </w:tblPrEx>
        <w:trPr>
          <w:trHeight w:val="500"/>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序号</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实施编码</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行政权力项目名称</w:t>
            </w:r>
          </w:p>
        </w:tc>
        <w:tc>
          <w:tcPr>
            <w:tcW w:w="5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行政权力项目类别</w:t>
            </w:r>
          </w:p>
        </w:tc>
        <w:tc>
          <w:tcPr>
            <w:tcW w:w="54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实施对象</w:t>
            </w:r>
          </w:p>
        </w:tc>
        <w:tc>
          <w:tcPr>
            <w:tcW w:w="64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承办机构</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公开范围</w:t>
            </w:r>
          </w:p>
        </w:tc>
        <w:tc>
          <w:tcPr>
            <w:tcW w:w="63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收费依据及标准</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法定时限</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承诺时限</w:t>
            </w:r>
          </w:p>
        </w:tc>
        <w:tc>
          <w:tcPr>
            <w:tcW w:w="853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追责情形及依据</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咨询电话</w:t>
            </w:r>
          </w:p>
        </w:tc>
        <w:tc>
          <w:tcPr>
            <w:tcW w:w="7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监督投诉电话</w:t>
            </w:r>
          </w:p>
        </w:tc>
        <w:tc>
          <w:tcPr>
            <w:tcW w:w="212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办理地点</w:t>
            </w:r>
          </w:p>
        </w:tc>
        <w:tc>
          <w:tcPr>
            <w:tcW w:w="52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实施层级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其他</w:t>
            </w:r>
          </w:p>
        </w:tc>
      </w:tr>
      <w:tr>
        <w:tblPrEx>
          <w:tblW w:w="20967" w:type="dxa"/>
          <w:tblInd w:w="0" w:type="dxa"/>
          <w:tblLayout w:type="fixed"/>
          <w:tblCellMar>
            <w:top w:w="0" w:type="dxa"/>
            <w:left w:w="0" w:type="dxa"/>
            <w:bottom w:w="0" w:type="dxa"/>
            <w:right w:w="0" w:type="dxa"/>
          </w:tblCellMar>
        </w:tblPrEx>
        <w:trPr>
          <w:trHeight w:val="2277"/>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11632127MB1902401D4630124001000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因公牺牲审批</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行政许可</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有限期11个工作日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仿宋" w:eastAsia="仿宋" w:hAnsi="仿宋" w:cs="仿宋" w:hint="eastAsia"/>
                <w:bCs/>
                <w:color w:val="000000"/>
                <w:kern w:val="0"/>
                <w:sz w:val="18"/>
                <w:szCs w:val="18"/>
              </w:rPr>
              <w:t xml:space="preserve">《</w:t>
            </w:r>
            <w:r>
              <w:rPr>
                <w:rFonts w:ascii="宋体" w:eastAsia="宋体" w:hAnsi="宋体" w:cs="宋体"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（一）对不符合法定条件的申请人准予行政许可或者超越法定职权作出准予行政许可决定的； </w:t>
            </w:r>
          </w:p>
          <w:p>
            <w:pPr>
              <w:jc w:val="both"/>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cs="宋体" w:hint="eastAsia"/>
                <w:b w:val="0"/>
                <w:bCs/>
                <w:i w:val="0"/>
                <w:color w:val="000000"/>
                <w:kern w:val="0"/>
                <w:sz w:val="18"/>
                <w:szCs w:val="18"/>
                <w:u w:val="none"/>
                <w:lang w:val="en-US" w:eastAsia="zh-CN"/>
              </w:rPr>
              <w:t xml:space="preserve">（二）对符合法定条件的申请人不予行政许可或者不在法定期限内作出准予行政许可决定的；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2034"/>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退役士兵自主就业一次性经济补助金的给付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bookmarkStart w:id="0" w:name="_GoBack"/>
            <w:bookmarkEnd w:id="0"/>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《退役士兵安置条例》（国务院、中央军委令第608号）第四十九条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r>
              <w:rPr>
                <w:rFonts w:ascii="宋体" w:eastAsia="宋体" w:hAnsi="宋体" w:asciiTheme="minorEastAsia" w:eastAsiaTheme="minorEastAsia" w:hAnsiTheme="minorEastAsia" w:cs="Arial" w:cstheme="minorEastAsia" w:hint="eastAsia"/>
                <w:bCs/>
                <w:color w:val="000000"/>
                <w:kern w:val="0"/>
                <w:sz w:val="18"/>
                <w:szCs w:val="18"/>
              </w:rPr>
              <w:br/>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2033"/>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退役士兵待安排工作期间生活费的给付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420"/>
              <w:jc w:val="left"/>
              <w:textAlignment w:val="auto"/>
              <w:rPr>
                <w:rFonts w:ascii="宋体" w:hAnsi="宋体" w:ascii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退役士兵安置条例》（国务院、中央军委令第608号）第四十九条规定：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r>
              <w:rPr>
                <w:rFonts w:ascii="宋体" w:hAnsi="宋体" w:asciiTheme="minorEastAsia" w:hAnsiTheme="minorEastAsia" w:cs="Arial" w:cstheme="minorEastAsia" w:hint="eastAsia"/>
                <w:color w:val="333333"/>
                <w:sz w:val="18"/>
                <w:szCs w:val="18"/>
                <w:shd w:val="clear" w:color="auto" w:fill="FCFCFC"/>
                <w:lang w:eastAsia="zh-CN"/>
              </w:rPr>
              <w:t xml:space="preserve">。</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420"/>
              <w:jc w:val="left"/>
              <w:textAlignment w:val="auto"/>
              <w:rPr>
                <w:rFonts w:ascii="宋体" w:eastAsia="宋体" w:hAnsi="宋体" w:asciiTheme="minorEastAsia" w:eastAsiaTheme="minorEastAsia" w:hAnsiTheme="minorEastAsia" w:cs="Arial" w:cstheme="minorEastAsia" w:hint="eastAsia"/>
                <w:bCs/>
                <w:color w:val="000000"/>
                <w:sz w:val="18"/>
                <w:szCs w:val="18"/>
                <w:lang w:eastAsia="zh-CN"/>
              </w:rPr>
            </w:pPr>
            <w:r>
              <w:rPr>
                <w:rFonts w:ascii="宋体" w:eastAsia="宋体" w:hAnsi="宋体" w:asciiTheme="minorEastAsia" w:eastAsiaTheme="minorEastAsia" w:hAnsiTheme="minorEastAsia" w:cs="Arial" w:cstheme="minorEastAsia" w:hint="eastAsia"/>
                <w:i w:val="0"/>
                <w:caps w:val="0"/>
                <w:color w:val="535353"/>
                <w:spacing w:val="0"/>
                <w:sz w:val="18"/>
                <w:szCs w:val="18"/>
                <w:u w:val="none"/>
                <w:shd w:val="clear" w:color="auto" w:fill="FFFFFF"/>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w:t>
            </w:r>
            <w:r>
              <w:rPr>
                <w:rFonts w:ascii="宋体" w:hAnsi="宋体" w:asciiTheme="minorEastAsia" w:hAnsiTheme="minorEastAsia" w:cs="Arial" w:cstheme="minorEastAsia" w:hint="eastAsia"/>
                <w:sz w:val="18"/>
                <w:szCs w:val="18"/>
                <w:lang w:val="en-US" w:eastAsia="zh-CN"/>
              </w:rPr>
              <w:t xml:space="preserve">-</w:t>
            </w:r>
            <w:r>
              <w:rPr>
                <w:rFonts w:ascii="宋体" w:eastAsia="宋体" w:hAnsi="宋体" w:asciiTheme="minorEastAsia" w:eastAsiaTheme="minorEastAsia" w:hAnsiTheme="minorEastAsia" w:cs="Arial" w:cstheme="minorEastAsia" w:hint="eastAsia"/>
                <w:sz w:val="18"/>
                <w:szCs w:val="18"/>
              </w:rPr>
              <w:t xml:space="preserve">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966"/>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部分农村籍退役士兵老年生活补助的发放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left"/>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《民政部、财政部关于给部分农村籍退役士兵发放老年生活补助的通知》（民发〔2011〕110号）; 《民政部办公厅关于落实给部分农村籍退役士兵发放老年生活补助政策措施的通知》（民办发〔2011〕11号）规定，自2011年8月1日起，给部分农村籍退役士兵按每服一年义务兵役、每人每月发给10元老年生活补助。因不履行或不正确履行行政职责，有下列情形的行政机关及相关工作人员应承担相应的责任：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1.对符合法定条件的不予受理的；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2.对不符合有关法律法规的而予以审核同意的；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3.未严格审查申报材料，造成纠纷或财产损失的；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4.监管不力或怠于履行职责的； </w:t>
            </w:r>
            <w:r>
              <w:rPr>
                <w:rFonts w:ascii="宋体" w:eastAsia="宋体" w:hAnsi="宋体" w:asciiTheme="minorEastAsia" w:eastAsiaTheme="minorEastAsia" w:hAnsiTheme="minorEastAsia" w:cs="Arial" w:cstheme="minorEastAsia" w:hint="eastAsia"/>
                <w:i w:val="0"/>
                <w:caps w:val="0"/>
                <w:color w:val="333333"/>
                <w:spacing w:val="0"/>
                <w:sz w:val="18"/>
                <w:szCs w:val="18"/>
                <w:u w:val="none"/>
              </w:rPr>
              <w:br/>
            </w:r>
            <w:r>
              <w:rPr>
                <w:rFonts w:ascii="宋体" w:eastAsia="宋体" w:hAnsi="宋体" w:asciiTheme="minorEastAsia" w:eastAsiaTheme="minorEastAsia" w:hAnsiTheme="minorEastAsia" w:cs="Arial" w:cstheme="minorEastAsia" w:hint="eastAsia"/>
                <w:i w:val="0"/>
                <w:caps w:val="0"/>
                <w:color w:val="333333"/>
                <w:spacing w:val="0"/>
                <w:sz w:val="18"/>
                <w:szCs w:val="18"/>
                <w:u w:val="none"/>
                <w:shd w:val="clear" w:color="auto" w:fill="FFFFFF"/>
              </w:rPr>
              <w:t xml:space="preserve">    　　５.其他违反法律法规规定的行为。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11632127MB1902401D4000524004000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在乡复员军人定期生活补助</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《退役士兵安置条例》（国务院、中央军委令第608号）《退役士兵安置条例》（国务院、中央军委令第608号）第四十九条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军人死亡一次性抚恤金的给付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退出现役的分散安置的一级至四级残疾军人护理费的给付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11632127MB1902401D4000524008000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烈士遗属、因公牺牲军人遗属、病故军人遗属一次性抚恤金的给付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right="0"/>
              <w:jc w:val="left"/>
              <w:textAlignment w:val="auto"/>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11632127MB1902401D4000524009000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烈士遗属、因公牺牲军人遗属、病故军人遗属定期生活补助金的给付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退出现役的残疾军人残疾抚恤金的给付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烈士褒扬金的给付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享受定期抚恤金的烈属、因公牺牲军人遗属、病故军人遗属丧葬补助费的给付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县退役军人事务部局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11632127MB1902401D4000524014000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退出现役的残疾军人病故丧葬补助费的给付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新区办公大楼四楼</w:t>
            </w: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中华人民共和国成立后参战和参加核试验军队退役人员补助金的给付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部分烈士（含错杀后被平反人员）子女认定及生活补助给付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11632127MB1902401D4000524018000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优抚对象医疗保障</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11632127MB1902401D4000524019000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伤残人员抚恤待遇发放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有限期60个工作日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有限期25个工作日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11632127MB1902401D4000524020000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1级至4级分散供养残疾退役士兵购（建）房资金给付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2897"/>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11632127MB1902401D4000524021000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义务兵家庭优待金给付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11632127MB1902401D4000524023000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牺牲、病故后6个月工资给付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第三十六条　行政机关公务员、烈士纪念设施保护单位工作人员贪污、挪用烈士褒扬经费的，由上级人民政府退役军人事务部门责令退回、追回，依法给予处分；构成犯罪的，依法追究刑事责任。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退出现役的残疾军人康复辅助器具配备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换发、补发残疾军人证。</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化隆县退役军人事务局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11632127MB1902401D4630524004000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为烈士子女发放生活补贴</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有限期30个工作日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w:t>
            </w:r>
            <w:r>
              <w:rPr>
                <w:rFonts w:ascii="宋体" w:hAnsi="宋体" w:asciiTheme="minorEastAsia" w:hAnsiTheme="minorEastAsia" w:cs="Arial" w:cstheme="minorEastAsia" w:hint="eastAsia"/>
                <w:bCs/>
                <w:color w:val="000000"/>
                <w:kern w:val="0"/>
                <w:sz w:val="18"/>
                <w:szCs w:val="18"/>
                <w:lang w:val="en-US" w:eastAsia="zh-CN"/>
              </w:rPr>
              <w:t xml:space="preserve">0</w:t>
            </w:r>
            <w:r>
              <w:rPr>
                <w:rFonts w:ascii="宋体" w:eastAsia="宋体" w:hAnsi="宋体" w:asciiTheme="minorEastAsia" w:eastAsiaTheme="minorEastAsia" w:hAnsiTheme="minorEastAsia" w:cs="Arial" w:cstheme="minorEastAsia" w:hint="eastAsia"/>
                <w:bCs/>
                <w:color w:val="000000"/>
                <w:kern w:val="0"/>
                <w:sz w:val="18"/>
                <w:szCs w:val="18"/>
              </w:rPr>
              <w:t xml:space="preserve">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第三十六条　行政机关公务员、烈士纪念设施保护单位工作人员贪污、挪用烈士褒扬经费的，由上级人民政府退役军人事务部门责令退回、追回，依法给予处分；构成犯罪的，依法追究刑事责任。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24</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自主就业退役士兵职业教育和技能培训</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225"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《退役士兵安置条例》（国务院、中央军委令第608号）《退役士兵安置条例》（国务院、中央军委令第608号）第四十九条 退役士兵安置工作主管部门及其工作人员、参与退役士兵安置工作的单位及其工作人员有下列行为之一的，由其上级主管部门责令改正，对相关责任人员依法给予处分;相关责任人员构成犯罪的，依法追究刑事责任:(一)违反规定审批退役士兵安置待遇的;(二)在审批退役士兵安置工作中出具虚假鉴定、证明的;(三)在退役士兵安置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一)拒绝或者无故拖延执行人民政府下达的安排退役士兵工作任务的;(二)未依法与退役士兵签订劳动合同、聘用合同的;(三)与残疾退役士兵解除劳动关系或者人事关系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11632127MB1902401D4630524006000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抚恤补助金发放</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有限期7个工作日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both"/>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11632127MB1902401D4630524007000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自主择业军队转业干部待遇支付</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行政给付</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11632127MB1902401D4000724005000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新建、改建、扩建、迁移烈士纪念设施批准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《烈士褒扬条例》</w:t>
            </w: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第三十五条　行政机关公务员在烈士褒扬和抚恤优待工作中有下列情形之一的，依法给予处分；构成犯罪的，依法追究刑事责任：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（一）违反本条例规定评定烈士或者审批抚恤优待的；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（二）未按照规定的标准、数额、对象审批或者发放烈士褒扬金或者抚恤金的；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（三）利用职务便利谋取私利的。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第三十六条　行政机关公务员、烈士纪念设施保护单位工作人员贪污、挪用烈士褒扬经费的，由上级人民政府退役军人事务部门责令退回、追回，依法给予处分；构成犯罪的，依法追究刑事责任。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第三十七条　未经批准迁移烈士纪念设施，非法侵占烈士纪念设施保护范围内的土地、设施，破坏、污损烈士纪念设施，或者在烈士纪念设施保护范围内为烈士以外的其他人修建纪念设施、安放骨灰、埋葬遗体的，由烈士纪念设施保护单位的上级主管部门责令改正，恢复原状、原貌；造成损失的，依法承担赔偿责任；构成犯罪的，依法追究刑事责任。</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lang w:val="en-US" w:eastAsia="zh-CN"/>
              </w:rPr>
              <w:t xml:space="preserve">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28</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11632127MB1902401D4000724007000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伤残等级评定(调整）和伤残证办理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29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11632127MB1902401D4000724009000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伤残抚恤关系接收、转移办理</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县退役军人事务部局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11632127MB1902401D4630724001000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全省机关工作人员、人民警察、退役军人因公致残伤残等级评定。</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w:t>
            </w:r>
            <w:r>
              <w:rPr>
                <w:rFonts w:ascii="宋体" w:hAnsi="宋体" w:asciiTheme="minorEastAsia" w:hAnsiTheme="minorEastAsia" w:cs="Arial" w:cstheme="minorEastAsia" w:hint="eastAsia"/>
                <w:bCs/>
                <w:color w:val="000000"/>
                <w:kern w:val="0"/>
                <w:sz w:val="18"/>
                <w:szCs w:val="18"/>
                <w:lang w:val="en-US" w:eastAsia="zh-CN"/>
              </w:rPr>
              <w:t xml:space="preserve">4</w:t>
            </w:r>
            <w:r>
              <w:rPr>
                <w:rFonts w:ascii="宋体" w:eastAsia="宋体" w:hAnsi="宋体" w:asciiTheme="minorEastAsia" w:eastAsiaTheme="minorEastAsia" w:hAnsiTheme="minorEastAsia" w:cs="Arial" w:cstheme="minorEastAsia" w:hint="eastAsia"/>
                <w:bCs/>
                <w:color w:val="000000"/>
                <w:sz w:val="18"/>
                <w:szCs w:val="18"/>
              </w:rPr>
              <w:t xml:space="preserve">000724002000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烈属、因公牺牲军人遗属、病故军人遗属定期抚恤的认定</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w:t>
            </w:r>
            <w:r>
              <w:rPr>
                <w:rFonts w:ascii="宋体" w:hAnsi="宋体" w:asciiTheme="minorEastAsia" w:hAnsiTheme="minorEastAsia" w:cs="Arial" w:cstheme="minorEastAsia" w:hint="eastAsia"/>
                <w:bCs/>
                <w:color w:val="000000"/>
                <w:kern w:val="0"/>
                <w:sz w:val="18"/>
                <w:szCs w:val="18"/>
                <w:lang w:val="en-US" w:eastAsia="zh-CN"/>
              </w:rPr>
              <w:t xml:space="preserve">2</w:t>
            </w:r>
            <w:r>
              <w:rPr>
                <w:rFonts w:ascii="宋体" w:eastAsia="宋体" w:hAnsi="宋体" w:asciiTheme="minorEastAsia" w:eastAsiaTheme="minorEastAsia" w:hAnsiTheme="minorEastAsia" w:cs="Arial" w:cstheme="minorEastAsia" w:hint="eastAsia"/>
                <w:bCs/>
                <w:color w:val="000000"/>
                <w:kern w:val="0"/>
                <w:sz w:val="18"/>
                <w:szCs w:val="18"/>
              </w:rPr>
              <w:t xml:space="preserve">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11632127MB1902401D4630724003000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带病回乡退伍军人病情认定</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行政确认</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县退役军人事务局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有限期15个工作日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有限期1</w:t>
            </w:r>
            <w:r>
              <w:rPr>
                <w:rFonts w:ascii="宋体" w:hAnsi="宋体" w:asciiTheme="minorEastAsia" w:hAnsiTheme="minorEastAsia" w:cs="Arial" w:cstheme="minorEastAsia" w:hint="eastAsia"/>
                <w:bCs/>
                <w:color w:val="000000"/>
                <w:kern w:val="0"/>
                <w:sz w:val="18"/>
                <w:szCs w:val="18"/>
                <w:lang w:val="en-US" w:eastAsia="zh-CN"/>
              </w:rPr>
              <w:t xml:space="preserve">0</w:t>
            </w:r>
            <w:r>
              <w:rPr>
                <w:rFonts w:ascii="宋体" w:eastAsia="宋体" w:hAnsi="宋体" w:asciiTheme="minorEastAsia" w:eastAsiaTheme="minorEastAsia" w:hAnsiTheme="minorEastAsia" w:cs="Arial" w:cstheme="minorEastAsia" w:hint="eastAsia"/>
                <w:bCs/>
                <w:color w:val="000000"/>
                <w:kern w:val="0"/>
                <w:sz w:val="18"/>
                <w:szCs w:val="18"/>
              </w:rPr>
              <w:t xml:space="preserve">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r>
        <w:tblPrEx>
          <w:tblW w:w="20967" w:type="dxa"/>
          <w:tblInd w:w="0" w:type="dxa"/>
          <w:tblLayout w:type="fixed"/>
          <w:tblCellMar>
            <w:top w:w="0" w:type="dxa"/>
            <w:left w:w="0" w:type="dxa"/>
            <w:bottom w:w="0" w:type="dxa"/>
            <w:right w:w="0" w:type="dxa"/>
          </w:tblCellMar>
        </w:tblPrEx>
        <w:trPr>
          <w:trHeight w:val="35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33</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11632127MB1902401D4000824002000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left"/>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优抚安置先进表彰</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行政奖励</w:t>
            </w:r>
          </w:p>
        </w:tc>
        <w:tc>
          <w:tcPr>
            <w:tcW w:w="5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自然人</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退役军人事务局</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向社会公开</w:t>
            </w: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无</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有限期20个工作日</w:t>
            </w:r>
          </w:p>
        </w:tc>
        <w:tc>
          <w:tcPr>
            <w:tcW w:w="85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pPr>
            <w:r>
              <w:rPr>
                <w:rFonts w:ascii="宋体" w:eastAsia="宋体" w:hAnsi="宋体" w:asciiTheme="minorEastAsia" w:eastAsiaTheme="minorEastAsia" w:hAnsiTheme="minorEastAsia" w:cs="Arial" w:cstheme="minorEastAsia" w:hint="eastAsia"/>
                <w:color w:val="333333"/>
                <w:sz w:val="18"/>
                <w:szCs w:val="18"/>
                <w:shd w:val="clear" w:color="auto" w:fill="FCFCFC"/>
                <w:lang w:eastAsia="zh-CN"/>
              </w:rPr>
              <w:t xml:space="preserve">《军人抚恤优待条例》第四十四条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第四十五条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一)违反规定审批军人抚恤待遇的;(二)在审批军人抚恤待遇工作中出具虚假诊断、鉴定、证明的;(三)不按规定的标准、数额、对象审批或者发放抚恤金、补助金、优待金的;(四)在军人抚恤优待工作中利用职权谋取私利的。</w:t>
            </w:r>
          </w:p>
          <w:p>
            <w:pPr>
              <w:pStyle w:val="Normal(Web)"/>
              <w:keepNext w:val="0"/>
              <w:keepLines w:val="0"/>
              <w:pageBreakBefore w:val="0"/>
              <w:widowControl/>
              <w:suppressLineNumbers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ascii="宋体" w:eastAsia="宋体" w:hAnsi="宋体" w:asciiTheme="minorEastAsia" w:eastAsiaTheme="minorEastAsia" w:hAnsiTheme="minorEastAsia" w:cs="Arial" w:cstheme="minorEastAsia" w:hint="eastAsia"/>
                <w:color w:val="333333"/>
                <w:sz w:val="18"/>
                <w:szCs w:val="18"/>
                <w:shd w:val="clear" w:color="auto" w:fill="FCFCFC"/>
              </w:rPr>
            </w:pPr>
            <w:r>
              <w:rPr>
                <w:rFonts w:ascii="宋体" w:eastAsia="宋体" w:hAnsi="宋体" w:asciiTheme="minorEastAsia" w:eastAsiaTheme="minorEastAsia" w:hAnsiTheme="minorEastAsia" w:cs="Arial" w:cstheme="minorEastAsia" w:hint="eastAsia"/>
                <w:color w:val="333333"/>
                <w:sz w:val="18"/>
                <w:szCs w:val="18"/>
                <w:shd w:val="clear" w:color="auto" w:fill="FCFCFC"/>
              </w:rPr>
              <w:t xml:space="preserve">第四十六条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8283738</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sz w:val="18"/>
                <w:szCs w:val="18"/>
              </w:rPr>
              <w:t xml:space="preserve">8280018</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sz w:val="18"/>
                <w:szCs w:val="18"/>
              </w:rPr>
            </w:pPr>
            <w:r>
              <w:rPr>
                <w:rFonts w:ascii="宋体" w:eastAsia="宋体" w:hAnsi="宋体" w:asciiTheme="minorEastAsia" w:eastAsiaTheme="minorEastAsia" w:hAnsiTheme="minorEastAsia" w:cs="Arial" w:cstheme="minorEastAsia" w:hint="eastAsia"/>
                <w:sz w:val="18"/>
                <w:szCs w:val="18"/>
              </w:rPr>
              <w:t xml:space="preserve">星期一至星期五：上午08:30－12:00，下午14:30-18：00（节假日除外）化隆县群科新区商务中心楼四楼退役军人事务局服务中心室</w:t>
            </w:r>
            <w:r>
              <w:rPr>
                <w:rFonts w:ascii="宋体" w:hAnsi="宋体" w:asciiTheme="minorEastAsia" w:hAnsiTheme="minorEastAsia" w:cs="Arial" w:cstheme="minorEastAsia" w:hint="eastAsia"/>
                <w:sz w:val="18"/>
                <w:szCs w:val="18"/>
                <w:lang w:eastAsia="zh-CN"/>
              </w:rPr>
              <w:t xml:space="preserve">、</w:t>
            </w:r>
            <w:r>
              <w:rPr>
                <w:rFonts w:ascii="宋体" w:eastAsia="宋体" w:hAnsi="宋体" w:asciiTheme="minorEastAsia" w:eastAsiaTheme="minorEastAsia" w:hAnsiTheme="minorEastAsia" w:cs="Arial" w:cstheme="minorEastAsia" w:hint="eastAsia"/>
                <w:bCs/>
                <w:color w:val="000000"/>
                <w:sz w:val="18"/>
                <w:szCs w:val="18"/>
              </w:rPr>
              <w:t xml:space="preserve">化隆县群科新区政务服务大厅3号退役军人事务窗口</w:t>
            </w:r>
          </w:p>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eastAsia="宋体" w:hAnsi="宋体" w:asciiTheme="minorEastAsia" w:eastAsiaTheme="minorEastAsia" w:hAnsiTheme="minorEastAsia" w:cs="Arial" w:cstheme="minorEastAsia" w:hint="eastAsia"/>
                <w:bCs/>
                <w:color w:val="000000"/>
                <w:sz w:val="18"/>
                <w:szCs w:val="18"/>
              </w:rPr>
            </w:pPr>
            <w:r>
              <w:rPr>
                <w:rFonts w:ascii="宋体" w:eastAsia="宋体" w:hAnsi="宋体" w:asciiTheme="minorEastAsia" w:eastAsiaTheme="minorEastAsia" w:hAnsiTheme="minorEastAsia" w:cs="Arial" w:cstheme="minorEastAsia" w:hint="eastAsia"/>
                <w:bCs/>
                <w:color w:val="000000"/>
                <w:kern w:val="0"/>
                <w:sz w:val="18"/>
                <w:szCs w:val="18"/>
              </w:rPr>
              <w:t xml:space="preserve">区县级</w:t>
            </w: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Cs/>
                <w:color w:val="000000"/>
                <w:sz w:val="18"/>
                <w:szCs w:val="18"/>
              </w:rPr>
            </w:pPr>
          </w:p>
        </w:tc>
      </w:tr>
    </w:tbl>
    <w:p>
      <w:pPr>
        <w:rPr>
          <w:rFonts w:ascii="宋体" w:eastAsia="宋体" w:hAnsi="宋体" w:asciiTheme="minorEastAsia" w:eastAsiaTheme="minorEastAsia" w:hAnsiTheme="minorEastAsia" w:cs="Arial" w:cstheme="minorEastAsia" w:hint="eastAsia"/>
          <w:bCs/>
          <w:sz w:val="21"/>
          <w:szCs w:val="21"/>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qFormat/>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eastAsia="宋体" w:hAnsi="宋体" w:cs="宋体"/>
      <w:kern w:val="0"/>
      <w:sz w:val="24"/>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customStyle="1" w:styleId="页眉Char">
    <w:name w:val="页眉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qFormat/>
    <w:rPr>
      <w:rFonts w:ascii="Calibri" w:eastAsia="宋体" w:hAnsi="Calibri" w:asciiTheme="minorHAnsi" w:eastAsiaTheme="minorEastAsia" w:hAnsiTheme="minorHAnsi" w:cs="Arial" w:cstheme="minorBidi"/>
      <w:kern w:val="2"/>
      <w:sz w:val="18"/>
      <w:szCs w:val="18"/>
    </w:rPr>
  </w:style>
  <w:style w:type="character" w:customStyle="1" w:styleId="display_type">
    <w:name w:val="display_type"/>
    <w:basedOn w:val="DefaultParagraphFont"/>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002D3703-8BFB-4E2C-BBB8-4A212B3F9922}">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31</Pages>
  <Words>2797</Words>
  <Characters>15945</Characters>
  <Application>WPS Office_11.1.0.9145_F1E327BC-269C-435d-A152-05C5408002CA</Application>
  <DocSecurity>0</DocSecurity>
  <Lines>132</Lines>
  <Paragraphs>37</Paragraphs>
  <CharactersWithSpaces>18705</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淺白墨染</cp:lastModifiedBy>
  <cp:revision>118</cp:revision>
  <dcterms:created xsi:type="dcterms:W3CDTF">2019-09-25T05:08:00Z</dcterms:created>
  <dcterms:modified xsi:type="dcterms:W3CDTF">2019-10-30T10:31:08Z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