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1076" w:type="dxa"/>
        <w:tblInd w:w="-181"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436"/>
        <w:gridCol w:w="1091"/>
        <w:gridCol w:w="1356"/>
        <w:gridCol w:w="1100"/>
        <w:gridCol w:w="810"/>
        <w:gridCol w:w="1100"/>
        <w:gridCol w:w="730"/>
        <w:gridCol w:w="530"/>
        <w:gridCol w:w="704"/>
        <w:gridCol w:w="830"/>
        <w:gridCol w:w="6480"/>
        <w:gridCol w:w="1070"/>
        <w:gridCol w:w="1090"/>
        <w:gridCol w:w="2543"/>
        <w:gridCol w:w="580"/>
        <w:gridCol w:w="626"/>
      </w:tblGrid>
      <w:tr>
        <w:tblPrEx>
          <w:tblW w:w="21076" w:type="dxa"/>
          <w:tblInd w:w="-181" w:type="dxa"/>
          <w:shd w:val="clear" w:color="auto" w:fill="auto"/>
          <w:tblLayout w:type="fixed"/>
          <w:tblCellMar>
            <w:top w:w="0" w:type="dxa"/>
            <w:left w:w="0" w:type="dxa"/>
            <w:bottom w:w="0" w:type="dxa"/>
            <w:right w:w="0" w:type="dxa"/>
          </w:tblCellMar>
        </w:tblPrEx>
        <w:trPr>
          <w:trHeight w:val="800"/>
        </w:trPr>
        <w:tc>
          <w:tcPr>
            <w:tcW w:w="21076"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化隆回族自治县工业商务和信息化局责任清单</w:t>
            </w:r>
          </w:p>
        </w:tc>
      </w:tr>
      <w:tr>
        <w:tblPrEx>
          <w:tblW w:w="21076" w:type="dxa"/>
          <w:tblInd w:w="-181" w:type="dxa"/>
          <w:shd w:val="clear" w:color="auto" w:fill="auto"/>
          <w:tblLayout w:type="fixed"/>
          <w:tblCellMar>
            <w:top w:w="0" w:type="dxa"/>
            <w:left w:w="0" w:type="dxa"/>
            <w:bottom w:w="0" w:type="dxa"/>
            <w:right w:w="0" w:type="dxa"/>
          </w:tblCellMar>
        </w:tblPrEx>
        <w:trPr>
          <w:trHeight w:val="5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序号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实施编码</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行政权力项目名称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行政权力项目类别</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实施对象</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承办机构</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公开范围</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收费依据及标准</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法定时限</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承诺时限</w:t>
            </w:r>
          </w:p>
        </w:tc>
        <w:tc>
          <w:tcPr>
            <w:tcW w:w="64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追责情形及依据</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咨询电话</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监督投诉电话</w:t>
            </w:r>
          </w:p>
        </w:tc>
        <w:tc>
          <w:tcPr>
            <w:tcW w:w="254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办理地点</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实施层级</w:t>
            </w:r>
          </w:p>
        </w:tc>
        <w:tc>
          <w:tcPr>
            <w:tcW w:w="62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bCs w:val="0"/>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18"/>
                <w:szCs w:val="18"/>
                <w:u w:val="none"/>
                <w:lang w:val="en-US" w:eastAsia="zh-CN"/>
              </w:rPr>
              <w:t xml:space="preserve">其他</w:t>
            </w:r>
          </w:p>
        </w:tc>
      </w:tr>
      <w:tr>
        <w:tblPrEx>
          <w:tblW w:w="21076" w:type="dxa"/>
          <w:tblInd w:w="-181" w:type="dxa"/>
          <w:shd w:val="clear" w:color="auto" w:fill="auto"/>
          <w:tblLayout w:type="fixed"/>
          <w:tblCellMar>
            <w:top w:w="0" w:type="dxa"/>
            <w:left w:w="0" w:type="dxa"/>
            <w:bottom w:w="0" w:type="dxa"/>
            <w:right w:w="0" w:type="dxa"/>
          </w:tblCellMar>
        </w:tblPrEx>
        <w:trPr>
          <w:trHeight w:val="4004"/>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仿宋" w:eastAsia="仿宋" w:hAnsi="仿宋" w:cs="仿宋" w:hint="eastAsia"/>
                <w:b w:val="0"/>
                <w:bCs/>
                <w:i w:val="0"/>
                <w:color w:val="000000"/>
                <w:kern w:val="0"/>
                <w:sz w:val="21"/>
                <w:szCs w:val="21"/>
                <w:u w:val="none"/>
                <w:lang w:val="en-US" w:eastAsia="zh-CN"/>
              </w:rPr>
              <w:t xml:space="preserve">限额以下外商投资项目核准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w:t>
            </w:r>
            <w:bookmarkStart w:id="0" w:name="_GoBack"/>
            <w:bookmarkEnd w:id="0"/>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有限期90个工作日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有限期45个工作日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0972-8713206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部门服务窗口,工作日8：30-12：00；14：30-18：00.办理，（除国家法定节假日外）,化隆县群科新区综合办公大楼一楼1009办公室</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限额以下外商投资非油气矿产勘查企业设立及变更审批的职责。</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外商投资企业设立、分立、合并审批及终止核准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限额以上外商投资企业（专项规定的除外）不超过限额的增资事项审批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限额以上外商投资企业（专项规定的除外）不超过限额的增资事项审批,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外商投资企业（专项规定的除外）的非实质性变更事项审批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限额以下外商投资非油气采矿企业设立及变更审批的职责。</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有限期45个工作日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有限期45个工作日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外商投资企业（专项规定的除外）不涉及批准证书记载变化的变更事项审批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外商投资企业项目协议、合同、章程及变更审批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原在商务部审核权限内的鼓励类产业且不需要国家综合平衡的外商投资企业（专项规定的除外）设立及变更事项审批的职责</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设立旧机动车鉴定评估机构审批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highlight w:val="none"/>
                <w:u w:val="none"/>
                <w:lang w:val="en-US" w:eastAsia="zh-CN"/>
              </w:rPr>
              <w:t xml:space="preserve">直销企业产品说明重大变更审批（行政许可项）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highlight w:val="none"/>
                <w:u w:val="none"/>
                <w:lang w:val="en-US" w:eastAsia="zh-CN"/>
              </w:rPr>
              <w:t xml:space="preserve">其他行政权力</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再生资源回收经营者备案登记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keepNext w:val="0"/>
              <w:keepLines w:val="0"/>
              <w:pageBreakBefore w:val="0"/>
              <w:kinsoku/>
              <w:wordWrap/>
              <w:overflowPunct/>
              <w:topLinePunct w:val="0"/>
              <w:autoSpaceDE/>
              <w:autoSpaceDN/>
              <w:bidi w:val="0"/>
              <w:adjustRightInd/>
              <w:snapToGrid/>
              <w:spacing w:line="240" w:lineRule="atLeast"/>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部门服务窗口,工作日上午8：30-12：00；下午14：30-18：00（除国家法定节假日外）,商务股业务办公室;行政审批中心大厅,工作日上午8：30-12：00；下午14：30-18：00（除国家法定节假日外）,群科新区政务服务大厅</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1076" w:type="dxa"/>
          <w:tblInd w:w="-181" w:type="dxa"/>
          <w:shd w:val="clear" w:color="auto" w:fill="auto"/>
          <w:tblLayout w:type="fixed"/>
          <w:tblCellMar>
            <w:top w:w="0" w:type="dxa"/>
            <w:left w:w="0" w:type="dxa"/>
            <w:bottom w:w="0" w:type="dxa"/>
            <w:right w:w="0" w:type="dxa"/>
          </w:tblCellMar>
        </w:tblPrEx>
        <w:trPr>
          <w:trHeight w:val="35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美容美发业指导、协调和监管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自然人,企业法人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化隆回族自治县工业商务和信息化局</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numPr>
                <w:ilvl w:val="0"/>
                <w:numId w:val="0"/>
              </w:num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一、追责情形</w:t>
            </w:r>
          </w:p>
          <w:p>
            <w:pPr>
              <w:numPr>
                <w:ilvl w:val="0"/>
                <w:numId w:val="0"/>
              </w:num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因不履行或不正确履行行政职责，有下列情形的，行政机关及相关人员应承担相应责任：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1.对符合法定条件的许可申请不予受理的;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2.对不符合法定条件的申请人准予许可或者超越法定职权作出准予许可决定的；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3.对符合法定条件的申请人不予许可或者不在法定期限内作出准予许可决定的；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4.不依法履行监督职责或者监督不力，导致项目执行不力的；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5.违反法定程序实施审批的；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6.违反审批，给社会造成损失、引起-的;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7.办理批文、实施监督检查，索取或者收受他人财物或者索取其他利益；</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8.其他违反法律法规规章规定的行为。</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二、追责依据</w:t>
            </w:r>
          </w:p>
          <w:p>
            <w:pPr>
              <w:ind w:firstLine="360" w:firstLineChars="200"/>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根据《行政诉讼法》《公务员法》《行政机关公务员处分条例》《中华人民共和国行政监察法》有关</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规定</w:t>
            </w: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形进行责任追究</w:t>
            </w: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0971-8713206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0971-8711145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部门服务窗口,工作日上午8：30-12：00；下午14：30-18：00（除国家法定节假日外）,商务股业务办公室</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bl>
    <w:p>
      <w:pPr>
        <w:rPr>
          <w:rFonts w:ascii="仿宋" w:eastAsia="仿宋" w:hAnsi="仿宋" w:cs="仿宋" w:hint="eastAsia"/>
          <w:b w:val="0"/>
          <w:bCs/>
          <w:sz w:val="21"/>
          <w:szCs w:val="21"/>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theme" Target="theme/theme1.xml" /><Relationship Id="rId17" Type="http://schemas.openxmlformats.org/officeDocument/2006/relationships/styles" Target="styles.xml" /><Relationship Id="rId18" Type="http://schemas.openxmlformats.org/officeDocument/2006/relationships/webSettings" Target="webSettings.xml" /><Relationship Id="rId19" Type="http://schemas.openxmlformats.org/officeDocument/2006/relationships/numbering" Target="numbering.xml"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0</Words>
  <Characters>0</Characters>
  <Application>WPS Office_11.1.0.9305_F1E327BC-269C-435d-A152-05C5408002CA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cp:lastPrinted>2019-10-28T09:03:00Z</cp:lastPrinted>
  <dcterms:created xsi:type="dcterms:W3CDTF">2019-09-25T07:03:00Z</dcterms:created>
  <dcterms:modified xsi:type="dcterms:W3CDTF">2019-12-13T10:02:54Z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