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07" w:type="dxa"/>
        <w:tblInd w:w="0" w:type="dxa"/>
        <w:tblLayout w:type="fixed"/>
        <w:tblCellMar>
          <w:top w:w="0" w:type="dxa"/>
          <w:left w:w="0" w:type="dxa"/>
          <w:bottom w:w="0" w:type="dxa"/>
          <w:right w:w="0" w:type="dxa"/>
        </w:tblCellMar>
        <w:tblLook w:firstRow="0" w:lastRow="0" w:firstColumn="0" w:lastColumn="0" w:noHBand="1" w:noVBand="1"/>
      </w:tblPr>
      <w:tblGrid>
        <w:gridCol w:w="522"/>
        <w:gridCol w:w="1757"/>
        <w:gridCol w:w="2698"/>
        <w:gridCol w:w="1417"/>
        <w:gridCol w:w="992"/>
        <w:gridCol w:w="993"/>
        <w:gridCol w:w="1275"/>
        <w:gridCol w:w="567"/>
        <w:gridCol w:w="993"/>
        <w:gridCol w:w="850"/>
        <w:gridCol w:w="4111"/>
        <w:gridCol w:w="1134"/>
        <w:gridCol w:w="1276"/>
        <w:gridCol w:w="1064"/>
        <w:gridCol w:w="734"/>
        <w:gridCol w:w="524"/>
      </w:tblGrid>
      <w:tr>
        <w:tblPrEx>
          <w:tblW w:w="20907" w:type="dxa"/>
          <w:tblInd w:w="0" w:type="dxa"/>
          <w:tblLayout w:type="fixed"/>
          <w:tblCellMar>
            <w:top w:w="0" w:type="dxa"/>
            <w:left w:w="0" w:type="dxa"/>
            <w:bottom w:w="0" w:type="dxa"/>
            <w:right w:w="0" w:type="dxa"/>
          </w:tblCellMar>
        </w:tblPrEx>
        <w:trPr>
          <w:trHeight w:val="800"/>
        </w:trPr>
        <w:tc>
          <w:tcPr>
            <w:tcW w:w="20907"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
                <w:color w:val="000000"/>
                <w:kern w:val="0"/>
                <w:sz w:val="44"/>
                <w:szCs w:val="44"/>
              </w:rPr>
              <w:t xml:space="preserve">化隆县发展和改革局责任清单</w:t>
            </w:r>
            <w:r>
              <w:rPr>
                <w:rFonts w:ascii="宋体" w:hAnsi="宋体" w:asciiTheme="minorEastAsia" w:hAnsiTheme="minorEastAsia" w:cs="Arial" w:cstheme="minorEastAsia" w:hint="eastAsia"/>
                <w:bCs/>
                <w:color w:val="000000"/>
                <w:kern w:val="0"/>
                <w:sz w:val="18"/>
                <w:szCs w:val="18"/>
              </w:rPr>
              <w:t xml:space="preserve"> </w:t>
            </w:r>
          </w:p>
        </w:tc>
      </w:tr>
      <w:tr>
        <w:tblPrEx>
          <w:tblW w:w="20907" w:type="dxa"/>
          <w:tblInd w:w="0" w:type="dxa"/>
          <w:tblLayout w:type="fixed"/>
          <w:tblCellMar>
            <w:top w:w="0" w:type="dxa"/>
            <w:left w:w="0" w:type="dxa"/>
            <w:bottom w:w="0" w:type="dxa"/>
            <w:right w:w="0" w:type="dxa"/>
          </w:tblCellMar>
        </w:tblPrEx>
        <w:trPr>
          <w:trHeight w:val="500"/>
        </w:trPr>
        <w:tc>
          <w:tcPr>
            <w:tcW w:w="52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序号</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实施编码</w:t>
            </w:r>
          </w:p>
        </w:tc>
        <w:tc>
          <w:tcPr>
            <w:tcW w:w="269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行政权力项目名称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行政权力项目类别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实施对象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承办机构</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公开范围</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收费依据及标准</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法定时限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承诺时限</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追责情形及依据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咨询电话</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监督投诉电话</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办理地点</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实施层级</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w:t>
            </w: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4000159001000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w:t>
            </w:r>
            <w:bookmarkStart w:id="0" w:name="_GoBack"/>
            <w:bookmarkEnd w:id="0"/>
            <w:r>
              <w:rPr>
                <w:rFonts w:ascii="宋体" w:hAnsi="宋体" w:asciiTheme="minorEastAsia" w:hAnsiTheme="minorEastAsia" w:cs="Arial" w:cstheme="minorEastAsia" w:hint="eastAsia"/>
                <w:bCs/>
                <w:color w:val="000000"/>
                <w:kern w:val="0"/>
                <w:sz w:val="18"/>
                <w:szCs w:val="18"/>
              </w:rPr>
              <w:t xml:space="preserve">收购资格认定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4306"/>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4630104010000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企业投资总投资5000万元以下其他社会事业项目核准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4630104011000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企业投资农村公路独立桥梁中属于小桥（8米≦多孔跨径总长≦30米或5米≦单孔20米）项目核准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4630104021000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建筑和市政公用工程政府投资项目申请使用投资补助，总投资额不足1000万元的项目；使用省级资金，总投资额不足1000万元，且省级资金比例低于50%的项目；各市、州使用本级资金且总投资在500万元及以上的项目；各类保障性住房建设项目的初步设计概算审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ind w:firstLine="360"/>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（二）对符合法定条件的申请人不予行政许可或者不在法定期限内作出准予行政许可决定的；</w:t>
            </w:r>
          </w:p>
          <w:p>
            <w:pPr>
              <w:ind w:firstLine="360"/>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使用政府性资金投资或国家有特殊要求的总投资500万元以下的小型水利项目核准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97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6</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bCs/>
                <w:color w:val="000000"/>
                <w:kern w:val="0"/>
                <w:sz w:val="18"/>
                <w:szCs w:val="18"/>
              </w:rPr>
              <w:t xml:space="preserve">11632127MB0N46181U463010400</w:t>
            </w:r>
            <w:r>
              <w:rPr>
                <w:rFonts w:ascii="宋体" w:hAnsi="宋体" w:asciiTheme="minorEastAsia" w:hAnsiTheme="minorEastAsia" w:cs="Arial" w:cstheme="minorEastAsia" w:hint="eastAsia"/>
                <w:bCs/>
                <w:color w:val="000000"/>
                <w:kern w:val="0"/>
                <w:sz w:val="18"/>
                <w:szCs w:val="18"/>
              </w:rPr>
              <w:t xml:space="preserve">9</w:t>
            </w:r>
            <w:r>
              <w:rPr>
                <w:rFonts w:ascii="宋体" w:hAnsi="宋体" w:asciiTheme="minorEastAsia" w:hAnsiTheme="minorEastAsia" w:cs="Arial" w:cstheme="minorEastAsia"/>
                <w:bCs/>
                <w:color w:val="000000"/>
                <w:kern w:val="0"/>
                <w:sz w:val="18"/>
                <w:szCs w:val="18"/>
              </w:rPr>
              <w:t xml:space="preserve">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企业投资非跨县总投资5000万元及以下的农村公路、资源开发性公路建设项目核准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18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7</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bCs/>
                <w:color w:val="000000"/>
                <w:kern w:val="0"/>
                <w:sz w:val="18"/>
                <w:szCs w:val="18"/>
              </w:rPr>
              <w:t xml:space="preserve">11632127MB0N46181U463010400</w:t>
            </w:r>
            <w:r>
              <w:rPr>
                <w:rFonts w:ascii="宋体" w:hAnsi="宋体" w:asciiTheme="minorEastAsia" w:hAnsiTheme="minorEastAsia" w:cs="Arial" w:cstheme="minorEastAsia" w:hint="eastAsia"/>
                <w:bCs/>
                <w:color w:val="000000"/>
                <w:kern w:val="0"/>
                <w:sz w:val="18"/>
                <w:szCs w:val="18"/>
              </w:rPr>
              <w:t xml:space="preserve">7</w:t>
            </w:r>
            <w:r>
              <w:rPr>
                <w:rFonts w:ascii="宋体" w:hAnsi="宋体" w:asciiTheme="minorEastAsia" w:hAnsiTheme="minorEastAsia" w:cs="Arial" w:cstheme="minorEastAsia"/>
                <w:bCs/>
                <w:color w:val="000000"/>
                <w:kern w:val="0"/>
                <w:sz w:val="18"/>
                <w:szCs w:val="18"/>
              </w:rPr>
              <w:t xml:space="preserve">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各类培训班、学前教育、城镇居民生活垃圾费、城镇污水处理费、机动车停放服务价格、城镇公交车票价、出租车票价、城镇住宅物业收费审批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0972-8715638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404"/>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4630104022000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各级有关部门批准的可研批复总投资额不足500万元的建筑和市政公用工程政府投资项目，不再进行初步设计和概算审批，可直接根据可研批复进行施工图设计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22"/>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4630204003000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收购者未执行国家粮食质量标准的，粮食收购者被售粮者举报未及时支付售粮款的，粮食收购者违反本条例规定代扣、代缴税、费和其他款项的，从事粮食收购、销售、储存、加工的粮食经营者以及饲料、工业用粮企业未建立粮食经营台账，或者未按照规定报送粮食基本数据和有关情况的，接受委托的粮食经营者从事政策性用粮的购销活动未执行国家有关政策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4630204004000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粮油仓储单位的名称不符合《粮油仓储管理办法》第八条规定条件的处罚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4630204006000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粮油仓储单位不具备《粮油仓储管理办法》第七条规定条件的处罚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235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4630204008000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粮油仓储单位未在规定时间向粮食行政管理部门备案，或者备案内容弄虚作假的处罚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2406"/>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4630204009000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从事粮食收购、加工、销售的经营者的粮食库存低于规定的最低库存量和超出规定的最高库存量的处罚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4630204010000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以欺骗、贿赂等不正当手段取得粮食收购资格许可的处罚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4630204011000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粮食经营者未按照本条例规定使用粮食仓储设施、运输工具的处罚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4630204012000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粮油仓储单位违反本办法有关粮油出入库、储存等管理规定的处罚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245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4630204017000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粮食收购者有未按照规定告知、公示粮食收购价格或者收购粮食压级压价，垄断或者操纵价格等价格违法行为的处罚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依据《青海行政工作人员行政过错责任追究暂行办法》（青海省人民政府令第31号 2010.12.29修正）第5条、第7条相关规定，政府部门及其工作人员在实施行政许可、监督检查等活动时，接受或者索取贿赂、徇私舞弊或者渎职、非法干预粮食经营者正常经营活动的，依法给予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4630604001000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对被稽察单位违反建设项目建设和管理规定的项目稽查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行政机关公务员处分条例》（国务院令第495号，2007.6.1）相关规定,行政机关及其工作人员实施行政审批过程中徇私舞弊、滥用职权、玩忽职守的，由其上级行政机关或者监察机关责令改正，对直接负责的主管人员和其他直接责任人员依法给予行政处分；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108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4630704003000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涉案财物价格认定（含涉纪、涉税等财物价格认定）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行政确认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依据《公务员法》《行政机关公务员处分条例》《中华人民共和国行政监察法》有关追责情形进行责任追究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4534"/>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4631004004000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制定地方定价目录内商品和服务价格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4631004005000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创业投资企业备案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4631004006000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企业投资项目备案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4574"/>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4631004007000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价格争议调解处理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0972-8720260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68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4631004008000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创业投资项目备案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11632127MB0N46181U</w:t>
            </w:r>
            <w:r>
              <w:rPr>
                <w:rFonts w:ascii="宋体" w:hAnsi="宋体" w:asciiTheme="minorEastAsia" w:hAnsiTheme="minorEastAsia" w:cs="Arial" w:cstheme="minorEastAsia" w:hint="eastAsia"/>
                <w:bCs/>
                <w:color w:val="000000"/>
                <w:kern w:val="0"/>
                <w:sz w:val="18"/>
                <w:szCs w:val="18"/>
              </w:rPr>
              <w:t xml:space="preserve">4631004012000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非工业生产性项目备案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有限期10个工作日</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宋体" w:hAnsi="宋体" w:asciiTheme="minorEastAsia" w:hAnsiTheme="minorEastAsia" w:cs="Arial" w:cstheme="minorEastAsia"/>
                <w:bCs/>
                <w:color w:val="000000"/>
                <w:kern w:val="0"/>
                <w:sz w:val="18"/>
                <w:szCs w:val="18"/>
              </w:rPr>
              <w:t xml:space="preserve"> </w:t>
            </w:r>
          </w:p>
          <w:p>
            <w:pP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0972-8713546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0972-8712443</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单位办公室,工作日,办公室</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bl>
    <w:p>
      <w:pPr>
        <w:rPr>
          <w:rFonts w:ascii="宋体" w:hAnsi="宋体" w:asciiTheme="minorEastAsia" w:hAnsiTheme="minorEastAsia" w:cs="Arial" w:cstheme="minorEastAsia"/>
          <w:bCs/>
          <w:sz w:val="18"/>
          <w:szCs w:val="18"/>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0"/>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rPr>
      <w:rFonts w:ascii="Calibri" w:eastAsia="宋体" w:hAnsi="Calibri" w:asciiTheme="minorHAnsi" w:eastAsiaTheme="minorEastAsia" w:hAnsiTheme="minorHAnsi" w:cs="Arial" w:cstheme="minorBidi"/>
      <w:kern w:val="2"/>
      <w:sz w:val="18"/>
      <w:szCs w:val="18"/>
    </w:rPr>
  </w:style>
  <w:style w:type="character" w:customStyle="1" w:styleId="页脚Char">
    <w:name w:val="页脚 Char"/>
    <w:basedOn w:val="DefaultParagraphFont"/>
    <w:qFormat/>
    <w:rPr>
      <w:rFonts w:ascii="Calibri" w:eastAsia="宋体" w:hAnsi="Calibri" w:asciiTheme="minorHAnsi" w:eastAsiaTheme="minorEastAsia" w:hAnsiTheme="minorHAnsi" w:cs="Arial" w:cstheme="minorBidi"/>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48</TotalTime>
  <Pages>7</Pages>
  <Words>1406</Words>
  <Characters>8016</Characters>
  <Application>WPS Office_11.1.0.9145_F1E327BC-269C-435d-A152-05C5408002CA</Application>
  <DocSecurity>0</DocSecurity>
  <Lines>66</Lines>
  <Paragraphs>18</Paragraphs>
  <Company>发改委</Company>
  <CharactersWithSpaces>9404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淺白墨染</cp:lastModifiedBy>
  <cp:revision>8</cp:revision>
  <dcterms:created xsi:type="dcterms:W3CDTF">2019-09-25T03:51:00Z</dcterms:created>
  <dcterms:modified xsi:type="dcterms:W3CDTF">2019-10-29T03:39:27Z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