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tbl>
      <w:tblPr>
        <w:tblStyle w:val="TableNormal"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4"/>
      </w:tblGrid>
      <w:tr w:rsidTr="00797685">
        <w:trPr>
          <w:trHeight w:val="6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9"/>
                <w:szCs w:val="3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9"/>
                <w:szCs w:val="39"/>
              </w:rPr>
              <w:t xml:space="preserve">化隆县水务局2015年决算表情况说明</w:t>
            </w:r>
          </w:p>
        </w:tc>
      </w:tr>
      <w:tr w:rsidTr="00797685">
        <w:trPr>
          <w:trHeight w:val="1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Tr="00797685">
        <w:trPr>
          <w:tblCellSpacing w:w="0" w:type="dxa"/>
          <w:jc w:val="center"/>
        </w:trPr>
        <w:tc>
          <w:tcPr>
            <w:tcW w:w="0" w:type="auto"/>
            <w:hideMark/>
          </w:tcPr>
          <w:p>
            <w:pPr>
              <w:spacing w:before="100" w:beforeAutospacing="1" w:after="100" w:afterAutospacing="1" w:line="680" w:lineRule="exact"/>
              <w:ind w:firstLine="790" w:firstLineChars="24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 xml:space="preserve">一、部门基本情况</w:t>
            </w:r>
          </w:p>
          <w:p>
            <w:pPr>
              <w:spacing w:before="100" w:beforeAutospacing="1" w:after="100" w:afterAutospacing="1" w:line="680" w:lineRule="exact"/>
              <w:ind w:left="210" w:firstLine="640" w:leftChars="100" w:firstLineChars="20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水务局为县财政一级预算拨款单位，所属事业单位有12个：县水利管理站、水利工程质量监督站、水土保持工作站、牙什尕灌区管理站、群科灌区管理站、甘都灌区管理站、后沟水库管理站、水政水资源办公室、水利项目办公室、防汛抗旱服务中心、水利会计核算中心、农村人畜饮水服务中心；单位财务由局会计核算中心集中核算、并进行财务监督。编制情况：县水务局核定行政编制数8名，实有人数8名；核定事业编制106名，实有105名，同工同酬26名。</w:t>
            </w:r>
          </w:p>
          <w:p>
            <w:pPr>
              <w:spacing w:before="100" w:beforeAutospacing="1" w:after="100" w:afterAutospacing="1" w:line="680" w:lineRule="exact"/>
              <w:ind w:firstLine="630" w:firstLineChars="19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 xml:space="preserve">二、主要职责</w:t>
            </w:r>
          </w:p>
          <w:p>
            <w:pPr>
              <w:spacing w:before="100" w:beforeAutospacing="1" w:after="100" w:afterAutospacing="1" w:line="680" w:lineRule="exact"/>
              <w:ind w:firstLine="640" w:firstLineChars="20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（一）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贯彻执行有关涉水方面的方针政策和法律法规；参与起草政府规章草案；负责协调推进本县域深化水利改革工作。</w:t>
            </w:r>
          </w:p>
          <w:p>
            <w:pPr>
              <w:spacing w:before="100" w:beforeAutospacing="1" w:after="100" w:afterAutospacing="1" w:line="680" w:lineRule="exact"/>
              <w:ind w:firstLine="640" w:firstLineChars="20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（二）拟订水务发展规划及水资源、防洪排涝、农田水利、水土保持等专业规划，经批准后组织实施。</w:t>
            </w:r>
          </w:p>
          <w:p>
            <w:pPr>
              <w:spacing w:before="100" w:beforeAutospacing="1" w:after="100" w:afterAutospacing="1" w:line="680" w:lineRule="exact"/>
              <w:ind w:firstLine="640" w:firstLineChars="20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（三）实施水资源的统一监督管理；负责生活、生产和生态用水的统筹和保障；组织开展水资源调查评价和水能资源调查工作；负责县内主要流域、区域的水资源调度；组织实施取水许可、水资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源有偿使用制度和城乡规划及建设项目的水资源论证、防洪影响评价制度；</w:t>
            </w:r>
            <w:r>
              <w:rPr>
                <w:rFonts w:ascii="仿宋" w:eastAsia="仿宋" w:hAnsi="仿宋" w:cs="宋体" w:hint="eastAsia"/>
                <w:color w:val="000000"/>
                <w:spacing w:val="-2"/>
                <w:sz w:val="32"/>
                <w:szCs w:val="32"/>
              </w:rPr>
              <w:t xml:space="preserve">指导县辖河流、水能资源开发和利用工作。</w:t>
            </w:r>
          </w:p>
          <w:p>
            <w:pPr>
              <w:spacing w:before="100" w:beforeAutospacing="1" w:after="100" w:afterAutospacing="1" w:line="680" w:lineRule="exact"/>
              <w:ind w:firstLine="640" w:firstLineChars="20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（四）负责水生态文明建设规划和水资源保护工作；拟订水生态文明建设规划和水资源保护规划；指导饮用水水源保护、地下水开发利用和保护工作。</w:t>
            </w:r>
          </w:p>
          <w:p>
            <w:pPr>
              <w:spacing w:before="100" w:beforeAutospacing="1" w:after="100" w:afterAutospacing="1" w:line="680" w:lineRule="exact"/>
              <w:ind w:firstLine="640" w:firstLineChars="20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（五）负责节约用水工作，拟订节约用水政策、措施、规划和相关标准；承担计划用水和节水型社会建设工作。</w:t>
            </w:r>
          </w:p>
          <w:p>
            <w:pPr>
              <w:spacing w:before="100" w:beforeAutospacing="1" w:after="100" w:afterAutospacing="1" w:line="680" w:lineRule="exact"/>
              <w:ind w:firstLine="640" w:firstLineChars="20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（六）负责水土流失防治工作。拟订全县水土保持规划并监督实施，组织实施水土流失的综合防治、监测预报并定期公告；对全县水利项目开发和建设进行行业监督和管理；负责全县水保生态环境监测体系建设与监督管理，开发建设项目水保设施的验收和水土流失监测及宣传等工作。</w:t>
            </w:r>
          </w:p>
          <w:p>
            <w:pPr>
              <w:spacing w:before="100" w:beforeAutospacing="1" w:after="100" w:afterAutospacing="1" w:line="680" w:lineRule="exact"/>
              <w:ind w:firstLine="640" w:firstLineChars="20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（七）负责防治水旱灾害，承担县政府防汛抗旱指挥部的具体工作；组织、协调、指导全县防汛抗旱工作，编制防汛抗旱应急预案并组织实施；指导水利突发事件的应急管理工作。</w:t>
            </w:r>
          </w:p>
          <w:p>
            <w:pPr>
              <w:spacing w:before="100" w:beforeAutospacing="1" w:after="100" w:afterAutospacing="1" w:line="680" w:lineRule="exact"/>
              <w:ind w:firstLine="640" w:firstLineChars="20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（八）指导水利设施、水域及其岸线的管理与保护；指导、监督水利工程建设、运行、质量与安全管理工作；指导小水电建设和水利社会化服务体系建设</w:t>
            </w:r>
            <w:r>
              <w:rPr>
                <w:rFonts w:ascii="仿宋" w:eastAsia="仿宋" w:hAnsi="仿宋" w:cs="宋体" w:hint="eastAsia"/>
                <w:color w:val="000000"/>
                <w:spacing w:val="-2"/>
                <w:sz w:val="32"/>
                <w:szCs w:val="32"/>
              </w:rPr>
              <w:t xml:space="preserve">。</w:t>
            </w:r>
          </w:p>
          <w:p>
            <w:pPr>
              <w:spacing w:before="100" w:beforeAutospacing="1" w:after="100" w:afterAutospacing="1" w:line="680" w:lineRule="exact"/>
              <w:ind w:firstLine="632" w:firstLineChars="20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"/>
                <w:sz w:val="32"/>
                <w:szCs w:val="32"/>
              </w:rPr>
              <w:t xml:space="preserve">（九）负责县内水政监察和水利综合执法，查处涉水违法事件，调处水事纠纷。</w:t>
            </w:r>
          </w:p>
          <w:p>
            <w:pPr>
              <w:spacing w:before="100" w:beforeAutospacing="1" w:after="100" w:afterAutospacing="1" w:line="680" w:lineRule="exact"/>
              <w:ind w:firstLine="640" w:firstLineChars="20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（十）指导河道治理与开发建设，编制河道采砂规划，监督河道采砂管理工作</w:t>
            </w:r>
            <w:r>
              <w:rPr>
                <w:rFonts w:ascii="仿宋" w:eastAsia="仿宋" w:hAnsi="仿宋" w:cs="宋体" w:hint="eastAsia"/>
                <w:color w:val="000000"/>
                <w:spacing w:val="-2"/>
                <w:sz w:val="32"/>
                <w:szCs w:val="32"/>
              </w:rPr>
              <w:t xml:space="preserve">。</w:t>
            </w:r>
          </w:p>
          <w:p>
            <w:pPr>
              <w:spacing w:before="100" w:beforeAutospacing="1" w:after="100" w:afterAutospacing="1" w:line="680" w:lineRule="exact"/>
              <w:ind w:firstLine="720" w:firstLineChars="225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（十一）负责局机关和直属事业单位的网上名称管理工作。</w:t>
            </w:r>
          </w:p>
          <w:p>
            <w:pPr>
              <w:spacing w:before="100" w:beforeAutospacing="1" w:after="100" w:afterAutospacing="1" w:line="680" w:lineRule="exact"/>
              <w:ind w:firstLine="640" w:firstLineChars="20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（十二）承办县委、县政府和上级业务部门交办的其他事项。 </w:t>
            </w:r>
          </w:p>
          <w:p>
            <w:pPr>
              <w:spacing w:before="100" w:beforeAutospacing="1" w:after="100" w:afterAutospacing="1" w:line="6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 </w:t>
            </w:r>
          </w:p>
          <w:p>
            <w:pPr>
              <w:spacing w:before="100" w:beforeAutospacing="1" w:after="100" w:afterAutospacing="1" w:line="680" w:lineRule="exact"/>
              <w:ind w:firstLine="315" w:firstLineChars="98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 xml:space="preserve">三、2015年度部门预算执行情况分析 </w:t>
            </w:r>
          </w:p>
          <w:p>
            <w:pPr>
              <w:spacing w:before="100" w:beforeAutospacing="1" w:after="100" w:afterAutospacing="1" w:line="680" w:lineRule="exact"/>
              <w:ind w:firstLine="480" w:firstLineChars="15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 1、收入支出结构分析</w:t>
            </w:r>
          </w:p>
          <w:p>
            <w:pPr>
              <w:spacing w:before="100" w:beforeAutospacing="1" w:after="100" w:afterAutospacing="1" w:line="6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   本年收入152111322.54元,上年结转115778096.65 元。总支出130831153.31 元,其中基本支出21881013.08 元占总支出16%,项目支出 108950140.23元占总支出的83 %。 </w:t>
            </w:r>
          </w:p>
          <w:p>
            <w:pPr>
              <w:spacing w:before="100" w:beforeAutospacing="1" w:after="100" w:afterAutospacing="1" w:line="680" w:lineRule="exact"/>
              <w:ind w:firstLine="480" w:firstLineChars="15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 2、收入支出与上年度对比分析</w:t>
            </w:r>
          </w:p>
          <w:p>
            <w:pPr>
              <w:spacing w:before="100" w:beforeAutospacing="1" w:after="100" w:afterAutospacing="1" w:line="6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 本年收入1520003222.54元，比上年度收入增加6247622.54 元。增幅为 69.7%，</w:t>
            </w:r>
          </w:p>
          <w:p>
            <w:pPr>
              <w:spacing w:before="100" w:beforeAutospacing="1" w:after="100" w:afterAutospacing="1" w:line="6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  3、本年结余 137058265.88元。</w:t>
            </w:r>
          </w:p>
          <w:p>
            <w:pPr>
              <w:spacing w:before="100" w:beforeAutospacing="1" w:after="100" w:afterAutospacing="1" w:line="6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  4、资产负债情况分析</w:t>
            </w:r>
          </w:p>
          <w:p>
            <w:pPr>
              <w:spacing w:before="100" w:beforeAutospacing="1" w:after="100" w:afterAutospacing="1" w:line="6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 2015年资产总额 184863963.6元，其中货币资金137058265.88 元，固定资产46709621.3 元，</w:t>
            </w:r>
          </w:p>
          <w:p>
            <w:pPr>
              <w:spacing w:before="100" w:beforeAutospacing="1" w:after="100" w:afterAutospacing="1" w:line="680" w:lineRule="exact"/>
              <w:ind w:firstLine="160" w:firstLineChars="5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  报表审核不符的原因</w:t>
            </w:r>
          </w:p>
          <w:p>
            <w:pPr>
              <w:spacing w:before="100" w:beforeAutospacing="1" w:after="100" w:afterAutospacing="1" w:line="680" w:lineRule="exact"/>
              <w:ind w:firstLine="640" w:firstLineChars="20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与上年核对不符的原因。上年报表中的2120812农田水利建投资金安排的支出的上年余额为13140000元，该功能分类科目已取消。2015年将其归入2139999其他农林水支出功能分类科目。政府性基金21363中央水利建设基金支出科目本年已取消，故将上年结余结转政府性中央水利建设基金3500000元，归入本年2139999其他农林水支出功能分类科目中。详见下表：</w:t>
            </w:r>
          </w:p>
          <w:tbl>
            <w:tblPr>
              <w:tblStyle w:val="TableNormal"/>
              <w:tblW w:w="10404" w:type="dxa"/>
              <w:tblLook w:val="04A0" w:firstRow="1" w:lastRow="0" w:firstColumn="1" w:lastColumn="0" w:noHBand="0" w:noVBand="1"/>
            </w:tblPr>
            <w:tblGrid>
              <w:gridCol w:w="580"/>
              <w:gridCol w:w="456"/>
              <w:gridCol w:w="456"/>
              <w:gridCol w:w="456"/>
              <w:gridCol w:w="1976"/>
              <w:gridCol w:w="1440"/>
              <w:gridCol w:w="540"/>
              <w:gridCol w:w="540"/>
              <w:gridCol w:w="532"/>
              <w:gridCol w:w="1808"/>
              <w:gridCol w:w="1620"/>
            </w:tblGrid>
            <w:tr>
              <w:trPr>
                <w:trHeight w:val="690"/>
              </w:trPr>
              <w:tc>
                <w:tcPr>
                  <w:tcW w:w="5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序号</w:t>
                  </w:r>
                </w:p>
              </w:tc>
              <w:tc>
                <w:tcPr>
                  <w:tcW w:w="13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支出功能分类科目编码</w:t>
                  </w:r>
                </w:p>
              </w:tc>
              <w:tc>
                <w:tcPr>
                  <w:tcW w:w="1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调整前功能分类科目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金额</w:t>
                  </w:r>
                </w:p>
              </w:tc>
              <w:tc>
                <w:tcPr>
                  <w:tcW w:w="161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支出功能分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类科目编码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调整后功能分类科目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金额</w:t>
                  </w:r>
                </w:p>
              </w:tc>
            </w:tr>
            <w:tr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类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款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项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合计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16640000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类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款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项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合计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widowControl/>
                    <w:spacing w:before="100" w:beforeAutospacing="1" w:after="100" w:afterAutospacing="1"/>
                    <w:ind w:firstLine="240" w:firstLineChars="10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16640000 </w:t>
                  </w:r>
                </w:p>
              </w:tc>
            </w:tr>
            <w:tr>
              <w:trPr>
                <w:trHeight w:val="57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13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2120812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13140000</w:t>
                  </w:r>
                </w:p>
              </w:tc>
              <w:tc>
                <w:tcPr>
                  <w:tcW w:w="161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2139999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13140000</w:t>
                  </w:r>
                </w:p>
              </w:tc>
            </w:tr>
            <w:tr>
              <w:trPr>
                <w:trHeight w:val="57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13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21363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3500000</w:t>
                  </w:r>
                </w:p>
              </w:tc>
              <w:tc>
                <w:tcPr>
                  <w:tcW w:w="1612" w:type="dxa"/>
                  <w:gridSpan w:val="3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2139999</w:t>
                  </w:r>
                </w:p>
              </w:tc>
              <w:tc>
                <w:tcPr>
                  <w:tcW w:w="1808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3500000</w:t>
                  </w:r>
                </w:p>
              </w:tc>
            </w:tr>
            <w:tr>
              <w:trPr>
                <w:trHeight w:val="5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⑴</w:t>
                  </w:r>
                </w:p>
              </w:tc>
              <w:tc>
                <w:tcPr>
                  <w:tcW w:w="13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2136302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200000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rPr>
                <w:trHeight w:val="54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⑵</w:t>
                  </w:r>
                </w:p>
              </w:tc>
              <w:tc>
                <w:tcPr>
                  <w:tcW w:w="13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2136303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2850000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rPr>
                <w:trHeight w:val="58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⑶</w:t>
                  </w:r>
                </w:p>
              </w:tc>
              <w:tc>
                <w:tcPr>
                  <w:tcW w:w="13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2136303</w:t>
                  </w:r>
                </w:p>
              </w:tc>
              <w:tc>
                <w:tcPr>
                  <w:tcW w:w="1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450000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before="100" w:beforeAutospacing="1" w:after="100" w:afterAutospacing="1" w:line="6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 xml:space="preserve">四、 2015年度年终财务分析</w:t>
            </w:r>
          </w:p>
          <w:p>
            <w:pPr>
              <w:spacing w:before="100" w:beforeAutospacing="1" w:after="100" w:afterAutospacing="1" w:line="6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（一）年终财务分析--收支情况</w:t>
            </w:r>
          </w:p>
          <w:p>
            <w:pPr>
              <w:spacing w:before="100" w:beforeAutospacing="1" w:after="100" w:afterAutospacing="1" w:line="6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   1、财政补助收入情况 ：财政补助收入全年共拨入 124655980.1元， 其中： 基本支出全年共拨入 21345980.1 元， 项目支出全年共拨入103310000元。 </w:t>
            </w:r>
          </w:p>
          <w:p>
            <w:pPr>
              <w:spacing w:before="100" w:beforeAutospacing="1" w:after="100" w:afterAutospacing="1" w:line="6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  2、 事业支出情况： 事业支出全年共支21881013.08 元，其中： 工资福利支出12896270.5 元（其中：基本工资2600579元，津贴补贴8326206.5元，奖金1488300元，绩效工资203696元，其他工资福利支出277489元）； 商品和服务支出106841940.62 元（其中：办公费106295503.63元，电费52641.99元，邮电费22299元，差旅费37391元，维修费10368元，培训费6079元，公务接待费38189元，劳务费43696元，公务用车运行维护费8821元，其他商品和服务支出326952元）；对个人和家庭的补助支出7586771.6 元。 </w:t>
            </w:r>
          </w:p>
          <w:p>
            <w:pPr>
              <w:spacing w:before="100" w:beforeAutospacing="1" w:after="100" w:afterAutospacing="1" w:line="680" w:lineRule="exact"/>
              <w:ind w:firstLine="6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3、年终决算情况： 本年度财政拨款124655980.1 元，上年结转 115748387.65元，共支出127324982.72 元， 年末结转137058265.88元其中：财政结余113079385.03 元，非财政结余23978880.85。</w:t>
            </w:r>
          </w:p>
          <w:p>
            <w:pPr>
              <w:spacing w:before="100" w:beforeAutospacing="1" w:after="100" w:afterAutospacing="1" w:line="6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（二）“三公”经费财政拨款支出情况说明</w:t>
            </w:r>
          </w:p>
          <w:p>
            <w:pPr>
              <w:spacing w:before="100" w:beforeAutospacing="1" w:after="100" w:afterAutospacing="1" w:line="6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  </w:t>
            </w:r>
            <w:r w:rsidR="00E653AA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  </w:t>
            </w:r>
            <w:r w:rsidRPr="008109C5" w:rsidR="00E653AA"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  <w:t xml:space="preserve">2015</w:t>
            </w:r>
            <w:r w:rsidRPr="008109C5" w:rsidR="00E653AA">
              <w:rPr>
                <w:rFonts w:ascii="宋体" w:eastAsia="宋体" w:hAnsi="宋体" w:cs="Times New Roman" w:hint="eastAsia"/>
                <w:color w:val="000000"/>
                <w:sz w:val="30"/>
                <w:szCs w:val="30"/>
              </w:rPr>
              <w:t xml:space="preserve">年度</w:t>
            </w:r>
            <w:r w:rsidR="00E653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“三公”经费接待批次为125个，接待人次为470人，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“三公”经费财政拨款支出预算为138800元，其中：公务用车运行费预算 30000元，公务接待费预算108800元；支出决算数为47010元，其中：公务用车运行费支出决算为  8821元，公务接待费支出决算为 38189元。</w:t>
            </w:r>
          </w:p>
          <w:p>
            <w:pPr>
              <w:spacing w:before="100" w:beforeAutospacing="1" w:after="100" w:afterAutospacing="1" w:line="680" w:lineRule="exact"/>
              <w:ind w:firstLine="480" w:firstLineChars="15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三公经费与上年执行情况差异说明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F71F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2015年度“三公”经费支出决算数与2014年决算数相比公务用车运行费减少</w:t>
            </w:r>
            <w:r w:rsidR="006F71F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2.75</w:t>
            </w:r>
            <w:r w:rsidRPr="006F71F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万元，公务接待费</w:t>
            </w:r>
            <w:r w:rsidR="005D2A0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减少1.87</w:t>
            </w:r>
            <w:r w:rsidRPr="006F71F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万元，主要原因是：公务用车开支节源，控制费用。</w:t>
            </w:r>
          </w:p>
          <w:p>
            <w:pPr>
              <w:spacing w:before="100" w:beforeAutospacing="1" w:after="100" w:afterAutospacing="1" w:line="680" w:lineRule="exact"/>
              <w:ind w:firstLine="321" w:firstLineChars="10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 xml:space="preserve">五、 年终财务分析--存在的问题和建议 </w:t>
            </w:r>
          </w:p>
          <w:p>
            <w:pPr>
              <w:spacing w:before="100" w:beforeAutospacing="1" w:after="100" w:afterAutospacing="1" w:line="6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  1、加强对固定资产的管理 固定资产是单位开展业务及其它活动的重要物质条件， 其种类繁多， 规格不一。 在这一管理上， 很多人长期不重视， 存在着重钱轻物，重采购轻管理的思想。 今后要加强这方面管理， 财务结算中心在平时的报销工作中， 对那些该记入固定资产而没办理固定资产入库手续的， 督促经办人及时进行固定资产登记， 并定期与使用部门进行核对， 确保帐实相符。 通过清查盘点能够及时发现和堵塞管理中的漏洞， 妥善处理和解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决管理中出现的各种问题， 制定出相应的改进措施， 确保固定资产的安全和完整。</w:t>
            </w:r>
          </w:p>
          <w:p>
            <w:pPr>
              <w:spacing w:before="100" w:beforeAutospacing="1" w:after="100" w:afterAutospacing="1" w:line="6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  2、 重视日常财务收支管理 收支管理是一个单位财务管理工作的重中之重， 加强收支管理， 既是缓解资金供需矛盾， 发展事业的需要，也是贯彻执行勤俭办一切事业方针的体现。为了加强这一管理，今后要建立健全了 各项财务制度， 这样财务日 常工作就可以做到有法可依，有章可循，实现管理的规范化、制度化。 对一切项目开支严格按财务制度办理， 极大地提高了资金的使用效益， 达到了节约支出的目的。 </w:t>
            </w:r>
          </w:p>
          <w:p>
            <w:pPr>
              <w:spacing w:before="100" w:beforeAutospacing="1" w:after="100" w:afterAutospacing="1" w:line="6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  3、 认真做好今后的发展规划工作， 为项目资金的有效投入、合理支出做出预算奠定基础。 财务报表是反映单位财务状况和收支情况的书面文件， 是财政部门和单位领导了解情况、掌握政策和指导单位预算执行工作的重要资料， 也是编制下年度单位财务收支预算的基础。 所以要非常重视这项工作， 做出长效的发展规划， 合理安排支出， 为今后的发展做好资金保障。 我们对一年来的收支活动进行分析和研究， 做出正确的评价， 通过年终财务分析， 总结出管理中的经验， 揭示出存在的问题，以便改进财务管理工作， 提高管理水平， 也为领导的决策提供可靠的依据。</w:t>
            </w:r>
          </w:p>
          <w:p>
            <w:pPr>
              <w:spacing w:before="100" w:beforeAutospacing="1" w:after="100" w:afterAutospacing="1" w:line="68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                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>
      <w:pPr>
        <w:rPr/>
      </w:pPr>
    </w:p>
    <w:sectPr w:rsidSect="00797685">
      <w:pgSz w:w="11906" w:h="16838" w:orient="portrait"/>
      <w:pgMar w:top="1440" w:right="1361" w:bottom="1440" w:left="1361" w:header="851" w:footer="992" w:gutter="0"/>
      <w:cols w:num="1" w:space="425">
        <w:col w:w="9184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doNotDisplayPageBoundaries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685"/>
    <w:pPr>
      <w:widowControl w:val="0"/>
      <w:jc w:val="both"/>
    </w:pPr>
    <w:rPr/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56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numbering" Target="numbering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37</TotalTime>
  <Pages>8</Pages>
  <Words>496</Words>
  <Characters>2833</Characters>
  <Application>Microsoft Office Word</Application>
  <DocSecurity>0</DocSecurity>
  <Lines>23</Lines>
  <Paragraphs>6</Paragraphs>
  <CharactersWithSpaces>3323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7</cp:revision>
  <dcterms:created xsi:type="dcterms:W3CDTF">2018-01-03T05:20:00Z</dcterms:created>
  <dcterms:modified xsi:type="dcterms:W3CDTF">2018-01-03T09:38:00Z</dcterms:modified>
</cp:coreProperties>
</file>