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4900" w:type="pct"/>
        <w:jc w:val="center"/>
        <w:tblCellSpacing w:w="0" w:type="dxa"/>
        <w:tblCellMar>
          <w:left w:w="0" w:type="dxa"/>
          <w:right w:w="0" w:type="dxa"/>
        </w:tblCellMar>
        <w:tblLook w:val="04A0" w:firstRow="1" w:lastRow="0" w:firstColumn="1" w:lastColumn="0" w:noHBand="0" w:noVBand="1"/>
      </w:tblPr>
      <w:tblGrid>
        <w:gridCol w:w="8974"/>
      </w:tblGrid>
      <w:tr w:rsidTr="00081593">
        <w:trPr>
          <w:trHeight w:val="6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pPr>
              <w:widowControl/>
              <w:spacing w:before="100" w:beforeAutospacing="1" w:after="100" w:afterAutospacing="1" w:line="480" w:lineRule="auto"/>
              <w:jc w:val="center"/>
              <w:rPr>
                <w:rFonts w:ascii="宋体" w:eastAsia="宋体" w:hAnsi="宋体" w:cs="宋体"/>
                <w:color w:val="000000"/>
                <w:kern w:val="0"/>
                <w:sz w:val="24"/>
                <w:szCs w:val="24"/>
              </w:rPr>
            </w:pPr>
            <w:r w:rsidRPr="00081593">
              <w:rPr>
                <w:rFonts w:ascii="宋体" w:eastAsia="宋体" w:hAnsi="宋体" w:cs="宋体" w:hint="eastAsia"/>
                <w:b/>
                <w:bCs/>
                <w:color w:val="000000"/>
                <w:kern w:val="0"/>
                <w:sz w:val="36"/>
                <w:szCs w:val="36"/>
              </w:rPr>
              <w:t xml:space="preserve">化隆县人民武装部2015年决算情况说明</w:t>
            </w:r>
          </w:p>
        </w:tc>
      </w:tr>
      <w:tr w:rsidTr="00081593">
        <w:trPr>
          <w:trHeight w:val="12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pPr>
              <w:widowControl/>
              <w:spacing w:before="100" w:beforeAutospacing="1" w:after="100" w:afterAutospacing="1" w:line="120" w:lineRule="atLeast"/>
              <w:jc w:val="left"/>
              <w:rPr>
                <w:rFonts w:ascii="宋体" w:eastAsia="宋体" w:hAnsi="宋体" w:cs="宋体"/>
                <w:color w:val="000000"/>
                <w:kern w:val="0"/>
                <w:sz w:val="24"/>
                <w:szCs w:val="24"/>
              </w:rPr>
            </w:pPr>
            <w:r w:rsidRPr="00081593">
              <w:rPr>
                <w:rFonts w:ascii="宋体" w:eastAsia="宋体" w:hAnsi="宋体" w:cs="宋体" w:hint="eastAsia"/>
                <w:color w:val="000000"/>
                <w:kern w:val="0"/>
                <w:sz w:val="12"/>
                <w:szCs w:val="24"/>
              </w:rPr>
              <w:t xml:space="preserve"> </w:t>
            </w:r>
          </w:p>
        </w:tc>
      </w:tr>
      <w:tr w:rsidTr="0008159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widowControl/>
              <w:spacing w:before="100" w:beforeAutospacing="1" w:after="100" w:afterAutospacing="1" w:line="495" w:lineRule="atLeast"/>
              <w:ind w:firstLine="480"/>
              <w:jc w:val="center"/>
              <w:rPr>
                <w:rFonts w:ascii="仿宋" w:eastAsia="仿宋" w:hAnsi="仿宋" w:cs="宋体"/>
                <w:color w:val="000000"/>
                <w:kern w:val="0"/>
                <w:sz w:val="30"/>
                <w:szCs w:val="30"/>
              </w:rPr>
            </w:pPr>
            <w:r w:rsidRPr="00081593">
              <w:rPr>
                <w:rFonts w:ascii="仿宋" w:eastAsia="仿宋" w:hAnsi="仿宋" w:cs="宋体" w:hint="eastAsia"/>
                <w:b/>
                <w:bCs/>
                <w:color w:val="000000"/>
                <w:kern w:val="0"/>
                <w:sz w:val="30"/>
                <w:szCs w:val="30"/>
              </w:rPr>
              <w:t xml:space="preserve">第一部分 化隆县人民武装部概况</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b/>
                <w:bCs/>
                <w:color w:val="000000"/>
                <w:kern w:val="0"/>
                <w:sz w:val="30"/>
                <w:szCs w:val="30"/>
              </w:rPr>
              <w:t xml:space="preserve">一、主要职能</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贯彻落实党和国家的军事路线、法律、法规，执行党委的决议和上级军事机关的指示、命令。负责征兵工作。负责当地的国防教育和军事训练工作，在有关部门协同下具体组织实施。牵头做好拥军爱民，拥军优属工作，负责复员、退伍、转业军人和军烈属的优抚工作。负责民兵组织建设，做好民兵、地方与军事专业技术对口人员预备役的登记统计上报工作。负责武器装备、弹药和训练器材的管理工作。平时组织民兵完成战备执勤任务，战时征集兵员，组建部队，率领民兵参战和支援前线。负责全县的人民防空工作, 管理好人防工作设施、器材。完成党委和上级军事部门交办的其他工作。</w:t>
            </w:r>
          </w:p>
          <w:p>
            <w:pPr>
              <w:widowControl/>
              <w:spacing w:before="100" w:beforeAutospacing="1" w:after="100" w:afterAutospacing="1" w:line="495" w:lineRule="atLeast"/>
              <w:ind w:firstLine="629" w:firstLineChars="209"/>
              <w:jc w:val="left"/>
              <w:rPr>
                <w:rFonts w:ascii="仿宋" w:eastAsia="仿宋" w:hAnsi="仿宋" w:cs="宋体"/>
                <w:color w:val="000000"/>
                <w:kern w:val="0"/>
                <w:sz w:val="30"/>
                <w:szCs w:val="30"/>
              </w:rPr>
            </w:pPr>
            <w:r w:rsidRPr="00081593">
              <w:rPr>
                <w:rFonts w:ascii="仿宋" w:eastAsia="仿宋" w:hAnsi="仿宋" w:cs="宋体" w:hint="eastAsia"/>
                <w:b/>
                <w:bCs/>
                <w:color w:val="000000"/>
                <w:kern w:val="0"/>
                <w:sz w:val="30"/>
                <w:szCs w:val="30"/>
              </w:rPr>
              <w:t xml:space="preserve">二、部门决算单位构成</w:t>
            </w:r>
          </w:p>
          <w:p>
            <w:pPr>
              <w:widowControl/>
              <w:spacing w:before="100" w:beforeAutospacing="1" w:after="100" w:afterAutospacing="1" w:line="495" w:lineRule="atLeast"/>
              <w:ind w:firstLine="630" w:firstLineChars="21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2015 年度决算编制范围包括各级预算单位 1 个。各级单位年末 人数 5 人，其中在职人员 4 人，退休人员 1 人。</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宋体" w:eastAsia="仿宋" w:hAnsi="宋体" w:cs="宋体" w:hint="eastAsia"/>
                <w:b/>
                <w:bCs/>
                <w:color w:val="000000"/>
                <w:kern w:val="0"/>
                <w:sz w:val="30"/>
                <w:szCs w:val="30"/>
              </w:rPr>
              <w:t xml:space="preserve">    </w:t>
            </w:r>
            <w:r w:rsidRPr="00081593">
              <w:rPr>
                <w:rFonts w:ascii="仿宋" w:eastAsia="仿宋" w:hAnsi="仿宋" w:cs="仿宋" w:hint="eastAsia"/>
                <w:b/>
                <w:bCs/>
                <w:color w:val="000000"/>
                <w:kern w:val="0"/>
                <w:sz w:val="30"/>
                <w:szCs w:val="30"/>
              </w:rPr>
              <w:t xml:space="preserve"> </w:t>
            </w:r>
            <w:r w:rsidRPr="00081593">
              <w:rPr>
                <w:rFonts w:ascii="宋体" w:eastAsia="仿宋" w:hAnsi="宋体" w:cs="宋体" w:hint="eastAsia"/>
                <w:b/>
                <w:bCs/>
                <w:color w:val="000000"/>
                <w:kern w:val="0"/>
                <w:sz w:val="30"/>
                <w:szCs w:val="30"/>
              </w:rPr>
              <w:t xml:space="preserve"> </w:t>
            </w:r>
            <w:r w:rsidRPr="00081593">
              <w:rPr>
                <w:rFonts w:ascii="仿宋" w:eastAsia="仿宋" w:hAnsi="仿宋" w:cs="仿宋" w:hint="eastAsia"/>
                <w:b/>
                <w:bCs/>
                <w:color w:val="000000"/>
                <w:kern w:val="0"/>
                <w:sz w:val="30"/>
                <w:szCs w:val="30"/>
              </w:rPr>
              <w:t xml:space="preserve"> </w:t>
            </w:r>
            <w:r w:rsidRPr="00081593">
              <w:rPr>
                <w:rFonts w:ascii="仿宋" w:eastAsia="仿宋" w:hAnsi="仿宋" w:cs="宋体" w:hint="eastAsia"/>
                <w:b/>
                <w:bCs/>
                <w:color w:val="000000"/>
                <w:kern w:val="0"/>
                <w:sz w:val="30"/>
                <w:szCs w:val="30"/>
              </w:rPr>
              <w:t xml:space="preserve">第二部分 化隆县人民武装部2015年度部门决算表</w:t>
            </w:r>
          </w:p>
          <w:p>
            <w:pPr>
              <w:widowControl/>
              <w:spacing w:before="100" w:beforeAutospacing="1" w:after="100" w:afterAutospacing="1" w:line="495" w:lineRule="atLeast"/>
              <w:ind w:firstLine="780" w:firstLineChars="26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一、收入支出决算总表</w:t>
            </w:r>
          </w:p>
          <w:p>
            <w:pPr>
              <w:widowControl/>
              <w:spacing w:before="100" w:beforeAutospacing="1" w:after="100" w:afterAutospacing="1" w:line="495" w:lineRule="atLeast"/>
              <w:ind w:firstLine="780" w:firstLineChars="26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二、收入决算表</w:t>
            </w:r>
          </w:p>
          <w:p>
            <w:pPr>
              <w:widowControl/>
              <w:spacing w:before="100" w:beforeAutospacing="1" w:after="100" w:afterAutospacing="1" w:line="495" w:lineRule="atLeast"/>
              <w:ind w:firstLine="780" w:firstLineChars="26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三、支出决算表</w:t>
            </w:r>
          </w:p>
          <w:p>
            <w:pPr>
              <w:widowControl/>
              <w:spacing w:before="100" w:beforeAutospacing="1" w:after="100" w:afterAutospacing="1" w:line="495" w:lineRule="atLeast"/>
              <w:ind w:firstLine="780" w:firstLineChars="26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四、财政拨款收入支出决算总表</w:t>
            </w:r>
          </w:p>
          <w:p>
            <w:pPr>
              <w:widowControl/>
              <w:spacing w:before="100" w:beforeAutospacing="1" w:after="100" w:afterAutospacing="1" w:line="495" w:lineRule="atLeast"/>
              <w:ind w:firstLine="780" w:firstLineChars="26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五、一般公共预算财政拨款支出决算表</w:t>
            </w:r>
          </w:p>
          <w:p>
            <w:pPr>
              <w:widowControl/>
              <w:spacing w:before="100" w:beforeAutospacing="1" w:after="100" w:afterAutospacing="1" w:line="495" w:lineRule="atLeast"/>
              <w:ind w:firstLine="780" w:firstLineChars="26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六、一般公共预算财政拨款基本支出决算表</w:t>
            </w:r>
          </w:p>
          <w:p>
            <w:pPr>
              <w:widowControl/>
              <w:spacing w:before="100" w:beforeAutospacing="1" w:after="100" w:afterAutospacing="1" w:line="495" w:lineRule="atLeast"/>
              <w:ind w:firstLine="780" w:firstLineChars="26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七、一般公共预算财政拨款“三公”经费支出决算表</w:t>
            </w:r>
          </w:p>
          <w:p>
            <w:pPr>
              <w:widowControl/>
              <w:spacing w:before="100" w:beforeAutospacing="1" w:after="100" w:afterAutospacing="1" w:line="495" w:lineRule="atLeast"/>
              <w:ind w:firstLine="780" w:firstLineChars="26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八、政府性基金预算财政拨款收入支出决算表</w:t>
            </w:r>
          </w:p>
          <w:p>
            <w:pPr>
              <w:widowControl/>
              <w:spacing w:before="100" w:beforeAutospacing="1" w:after="100" w:afterAutospacing="1" w:line="495" w:lineRule="atLeast"/>
              <w:ind w:firstLine="480"/>
              <w:jc w:val="center"/>
              <w:rPr>
                <w:rFonts w:ascii="仿宋" w:eastAsia="仿宋" w:hAnsi="仿宋" w:cs="宋体"/>
                <w:color w:val="000000"/>
                <w:kern w:val="0"/>
                <w:sz w:val="30"/>
                <w:szCs w:val="30"/>
              </w:rPr>
            </w:pPr>
            <w:r w:rsidRPr="00081593">
              <w:rPr>
                <w:rFonts w:ascii="仿宋" w:eastAsia="仿宋" w:hAnsi="仿宋" w:cs="宋体" w:hint="eastAsia"/>
                <w:b/>
                <w:bCs/>
                <w:color w:val="000000"/>
                <w:kern w:val="0"/>
                <w:sz w:val="30"/>
                <w:szCs w:val="30"/>
              </w:rPr>
              <w:t xml:space="preserve">第三部分 化隆县人民武装部2015年度部门决算情况说明</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b/>
                <w:bCs/>
                <w:color w:val="000000"/>
                <w:kern w:val="0"/>
                <w:sz w:val="30"/>
                <w:szCs w:val="30"/>
              </w:rPr>
              <w:t xml:space="preserve">一、关于化隆县人民武装部2015年度部门决算收支情况总体说明</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2015年度收支总决算 55.09 万元，比2014年收支均有所增长。主要原因是：人员经费开支增长。其中：</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（一）收入总计55.09万元。包括：</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1、财政拨款收入55.09万元，为县财政当年拨付资金。</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2、其他收入 0万元。</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3、上年结余结转 0万元。</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（二）支出总计55.09万元。基本支出55.09</w:t>
            </w:r>
            <w:r w:rsidRPr="00081593">
              <w:rPr>
                <w:rFonts w:ascii="仿宋" w:eastAsia="仿宋" w:hAnsi="仿宋" w:cs="宋体"/>
                <w:color w:val="000000"/>
                <w:kern w:val="0"/>
                <w:sz w:val="30"/>
                <w:szCs w:val="30"/>
              </w:rPr>
              <w:t xml:space="preserve"> </w:t>
            </w:r>
            <w:r w:rsidRPr="00081593">
              <w:rPr>
                <w:rFonts w:ascii="仿宋" w:eastAsia="仿宋" w:hAnsi="仿宋" w:cs="宋体" w:hint="eastAsia"/>
                <w:color w:val="000000"/>
                <w:kern w:val="0"/>
                <w:sz w:val="30"/>
                <w:szCs w:val="30"/>
              </w:rPr>
              <w:t xml:space="preserve">万元，占</w:t>
            </w:r>
            <w:r w:rsidRPr="00081593">
              <w:rPr>
                <w:rFonts w:ascii="仿宋" w:eastAsia="仿宋" w:hAnsi="仿宋" w:cs="宋体"/>
                <w:color w:val="000000"/>
                <w:kern w:val="0"/>
                <w:sz w:val="30"/>
                <w:szCs w:val="30"/>
              </w:rPr>
              <w:t xml:space="preserve"> 100%</w:t>
            </w:r>
            <w:r w:rsidRPr="00081593">
              <w:rPr>
                <w:rFonts w:ascii="仿宋" w:eastAsia="仿宋" w:hAnsi="仿宋" w:cs="宋体" w:hint="eastAsia"/>
                <w:color w:val="000000"/>
                <w:kern w:val="0"/>
                <w:sz w:val="30"/>
                <w:szCs w:val="30"/>
              </w:rPr>
              <w:t xml:space="preserve">。</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b/>
                <w:bCs/>
                <w:color w:val="000000"/>
                <w:kern w:val="0"/>
                <w:sz w:val="30"/>
                <w:szCs w:val="30"/>
              </w:rPr>
              <w:t xml:space="preserve">二、关于化隆县人民武装部2015年度一般公共预算财政拨款支出</w:t>
            </w:r>
            <w:r w:rsidRPr="00081593">
              <w:rPr>
                <w:rFonts w:ascii="仿宋" w:eastAsia="仿宋" w:hAnsi="仿宋" w:cs="宋体" w:hint="eastAsia"/>
                <w:b/>
                <w:bCs/>
                <w:color w:val="000000"/>
                <w:kern w:val="0"/>
                <w:sz w:val="30"/>
                <w:szCs w:val="30"/>
              </w:rPr>
              <w:t xml:space="preserve">决算情况说明</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（一）财政拨款支出决算变化情况。人民武装部2015年度财政拨款支出55.09万元，占本年支出总计的 100%。</w:t>
            </w:r>
          </w:p>
          <w:p>
            <w:pPr>
              <w:widowControl/>
              <w:spacing w:before="100" w:beforeAutospacing="1" w:after="100" w:afterAutospacing="1" w:line="408" w:lineRule="auto"/>
              <w:ind w:firstLine="600" w:firstLineChars="200"/>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（二）财政拨款支出决算构成情况。2015年化隆县人民武装部财政拨款用于以下方面：</w:t>
            </w:r>
          </w:p>
          <w:p>
            <w:pPr>
              <w:widowControl/>
              <w:spacing w:before="100" w:beforeAutospacing="1" w:after="100" w:afterAutospacing="1" w:line="408" w:lineRule="auto"/>
              <w:ind w:firstLine="600" w:firstLineChars="200"/>
              <w:rPr>
                <w:rFonts w:ascii="仿宋" w:eastAsia="仿宋" w:hAnsi="仿宋" w:cs="宋体"/>
                <w:color w:val="000000"/>
                <w:kern w:val="0"/>
                <w:sz w:val="30"/>
                <w:szCs w:val="30"/>
              </w:rPr>
            </w:pPr>
            <w:r w:rsidRPr="00081593">
              <w:rPr>
                <w:rFonts w:ascii="Calibri" w:eastAsia="仿宋" w:hAnsi="Calibri" w:cs="宋体"/>
                <w:color w:val="000000"/>
                <w:kern w:val="0"/>
                <w:sz w:val="30"/>
                <w:szCs w:val="30"/>
              </w:rPr>
              <w:t xml:space="preserve"> </w:t>
            </w:r>
            <w:r w:rsidRPr="00081593">
              <w:rPr>
                <w:rFonts w:ascii="仿宋" w:eastAsia="仿宋" w:hAnsi="仿宋" w:cs="宋体"/>
                <w:color w:val="000000"/>
                <w:kern w:val="0"/>
                <w:sz w:val="30"/>
                <w:szCs w:val="30"/>
              </w:rPr>
              <w:t xml:space="preserve">1</w:t>
            </w:r>
            <w:r w:rsidRPr="00081593">
              <w:rPr>
                <w:rFonts w:ascii="仿宋" w:eastAsia="仿宋" w:hAnsi="仿宋" w:cs="宋体" w:hint="eastAsia"/>
                <w:color w:val="000000"/>
                <w:kern w:val="0"/>
                <w:sz w:val="30"/>
                <w:szCs w:val="30"/>
              </w:rPr>
              <w:t xml:space="preserve">、一般公共服务（类）支出</w:t>
            </w:r>
            <w:r w:rsidRPr="00081593">
              <w:rPr>
                <w:rFonts w:ascii="仿宋" w:eastAsia="仿宋" w:hAnsi="仿宋" w:cs="宋体"/>
                <w:color w:val="000000"/>
                <w:kern w:val="0"/>
                <w:sz w:val="30"/>
                <w:szCs w:val="30"/>
              </w:rPr>
              <w:t xml:space="preserve"> 47.51 </w:t>
            </w:r>
            <w:r w:rsidRPr="00081593">
              <w:rPr>
                <w:rFonts w:ascii="仿宋" w:eastAsia="仿宋" w:hAnsi="仿宋" w:cs="宋体" w:hint="eastAsia"/>
                <w:color w:val="000000"/>
                <w:kern w:val="0"/>
                <w:sz w:val="30"/>
                <w:szCs w:val="30"/>
              </w:rPr>
              <w:t xml:space="preserve">万元，占</w:t>
            </w:r>
            <w:r w:rsidRPr="00081593">
              <w:rPr>
                <w:rFonts w:ascii="仿宋" w:eastAsia="仿宋" w:hAnsi="仿宋" w:cs="宋体"/>
                <w:color w:val="000000"/>
                <w:kern w:val="0"/>
                <w:sz w:val="30"/>
                <w:szCs w:val="30"/>
              </w:rPr>
              <w:t xml:space="preserve">86.2%,</w:t>
            </w:r>
            <w:r w:rsidRPr="00081593">
              <w:rPr>
                <w:rFonts w:ascii="仿宋" w:eastAsia="仿宋" w:hAnsi="仿宋" w:cs="宋体" w:hint="eastAsia"/>
                <w:color w:val="000000"/>
                <w:kern w:val="0"/>
                <w:sz w:val="30"/>
                <w:szCs w:val="30"/>
              </w:rPr>
              <w:t xml:space="preserve">主要用于县人民武装部及所属单位保障机构正常运转、开展公共管理活动所发生的基本支出和项目支出。</w:t>
            </w:r>
          </w:p>
          <w:p>
            <w:pPr>
              <w:widowControl/>
              <w:spacing w:before="100" w:beforeAutospacing="1" w:after="100" w:afterAutospacing="1" w:line="408" w:lineRule="auto"/>
              <w:ind w:firstLine="600" w:firstLineChars="200"/>
              <w:rPr>
                <w:rFonts w:ascii="仿宋" w:eastAsia="仿宋" w:hAnsi="仿宋" w:cs="宋体"/>
                <w:color w:val="000000"/>
                <w:kern w:val="0"/>
                <w:sz w:val="30"/>
                <w:szCs w:val="30"/>
              </w:rPr>
            </w:pPr>
            <w:r w:rsidRPr="00081593">
              <w:rPr>
                <w:rFonts w:ascii="Calibri" w:eastAsia="仿宋" w:hAnsi="Calibri" w:cs="宋体"/>
                <w:color w:val="000000"/>
                <w:kern w:val="0"/>
                <w:sz w:val="30"/>
                <w:szCs w:val="30"/>
              </w:rPr>
              <w:t xml:space="preserve"> </w:t>
            </w:r>
            <w:r w:rsidRPr="00081593">
              <w:rPr>
                <w:rFonts w:ascii="仿宋" w:eastAsia="仿宋" w:hAnsi="仿宋" w:cs="宋体"/>
                <w:color w:val="000000"/>
                <w:kern w:val="0"/>
                <w:sz w:val="30"/>
                <w:szCs w:val="30"/>
              </w:rPr>
              <w:t xml:space="preserve">2</w:t>
            </w:r>
            <w:r w:rsidRPr="00081593">
              <w:rPr>
                <w:rFonts w:ascii="仿宋" w:eastAsia="仿宋" w:hAnsi="仿宋" w:cs="宋体" w:hint="eastAsia"/>
                <w:color w:val="000000"/>
                <w:kern w:val="0"/>
                <w:sz w:val="30"/>
                <w:szCs w:val="30"/>
              </w:rPr>
              <w:t xml:space="preserve">、社会保障和就业</w:t>
            </w:r>
            <w:r w:rsidRPr="00081593">
              <w:rPr>
                <w:rFonts w:ascii="仿宋" w:eastAsia="仿宋" w:hAnsi="仿宋" w:cs="宋体"/>
                <w:color w:val="000000"/>
                <w:kern w:val="0"/>
                <w:sz w:val="30"/>
                <w:szCs w:val="30"/>
              </w:rPr>
              <w:t xml:space="preserve">(</w:t>
            </w:r>
            <w:r w:rsidRPr="00081593">
              <w:rPr>
                <w:rFonts w:ascii="仿宋" w:eastAsia="仿宋" w:hAnsi="仿宋" w:cs="宋体" w:hint="eastAsia"/>
                <w:color w:val="000000"/>
                <w:kern w:val="0"/>
                <w:sz w:val="30"/>
                <w:szCs w:val="30"/>
              </w:rPr>
              <w:t xml:space="preserve">类</w:t>
            </w:r>
            <w:r w:rsidRPr="00081593">
              <w:rPr>
                <w:rFonts w:ascii="仿宋" w:eastAsia="仿宋" w:hAnsi="仿宋" w:cs="宋体"/>
                <w:color w:val="000000"/>
                <w:kern w:val="0"/>
                <w:sz w:val="30"/>
                <w:szCs w:val="30"/>
              </w:rPr>
              <w:t xml:space="preserve">)</w:t>
            </w:r>
            <w:r w:rsidRPr="00081593">
              <w:rPr>
                <w:rFonts w:ascii="仿宋" w:eastAsia="仿宋" w:hAnsi="仿宋" w:cs="宋体" w:hint="eastAsia"/>
                <w:color w:val="000000"/>
                <w:kern w:val="0"/>
                <w:sz w:val="30"/>
                <w:szCs w:val="30"/>
              </w:rPr>
              <w:t xml:space="preserve">支出</w:t>
            </w:r>
            <w:r w:rsidRPr="00081593">
              <w:rPr>
                <w:rFonts w:ascii="仿宋" w:eastAsia="仿宋" w:hAnsi="仿宋" w:cs="宋体"/>
                <w:color w:val="000000"/>
                <w:kern w:val="0"/>
                <w:sz w:val="30"/>
                <w:szCs w:val="30"/>
              </w:rPr>
              <w:t xml:space="preserve">7.58</w:t>
            </w:r>
            <w:r w:rsidRPr="00081593">
              <w:rPr>
                <w:rFonts w:ascii="仿宋" w:eastAsia="仿宋" w:hAnsi="仿宋" w:cs="宋体" w:hint="eastAsia"/>
                <w:color w:val="000000"/>
                <w:kern w:val="0"/>
                <w:sz w:val="30"/>
                <w:szCs w:val="30"/>
              </w:rPr>
              <w:t xml:space="preserve">万元，占</w:t>
            </w:r>
            <w:r w:rsidRPr="00081593">
              <w:rPr>
                <w:rFonts w:ascii="仿宋" w:eastAsia="仿宋" w:hAnsi="仿宋" w:cs="宋体"/>
                <w:color w:val="000000"/>
                <w:kern w:val="0"/>
                <w:sz w:val="30"/>
                <w:szCs w:val="30"/>
              </w:rPr>
              <w:t xml:space="preserve">13.8%,</w:t>
            </w:r>
            <w:r w:rsidRPr="00081593">
              <w:rPr>
                <w:rFonts w:ascii="仿宋" w:eastAsia="仿宋" w:hAnsi="仿宋" w:cs="宋体" w:hint="eastAsia"/>
                <w:color w:val="000000"/>
                <w:kern w:val="0"/>
                <w:sz w:val="30"/>
                <w:szCs w:val="30"/>
              </w:rPr>
              <w:t xml:space="preserve">主要用于社会保障和就业开支的离退休人员经费和离退休干部管理机构为离退休人员提供管理和服务所发生的工作支出。</w:t>
            </w:r>
            <w:r w:rsidRPr="00081593">
              <w:rPr>
                <w:rFonts w:ascii="仿宋" w:eastAsia="仿宋" w:hAnsi="仿宋" w:cs="宋体"/>
                <w:color w:val="000000"/>
                <w:kern w:val="0"/>
                <w:sz w:val="30"/>
                <w:szCs w:val="30"/>
              </w:rPr>
              <w:t xml:space="preserve"> </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（三）一般公共预算财政拨款基本支出决算情况说明</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2015年度财政拨款基本支出</w:t>
            </w:r>
            <w:r w:rsidRPr="00081593">
              <w:rPr>
                <w:rFonts w:ascii="仿宋" w:eastAsia="仿宋" w:hAnsi="仿宋" w:cs="宋体"/>
                <w:color w:val="000000"/>
                <w:kern w:val="0"/>
                <w:sz w:val="30"/>
                <w:szCs w:val="30"/>
              </w:rPr>
              <w:t xml:space="preserve">55.09</w:t>
            </w:r>
            <w:r w:rsidRPr="00081593">
              <w:rPr>
                <w:rFonts w:ascii="仿宋" w:eastAsia="仿宋" w:hAnsi="仿宋" w:cs="宋体" w:hint="eastAsia"/>
                <w:color w:val="000000"/>
                <w:kern w:val="0"/>
                <w:sz w:val="30"/>
                <w:szCs w:val="30"/>
              </w:rPr>
              <w:t xml:space="preserve">万元。其中：</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1、工资福利支出</w:t>
            </w:r>
            <w:r w:rsidRPr="00081593">
              <w:rPr>
                <w:rFonts w:ascii="仿宋" w:eastAsia="仿宋" w:hAnsi="仿宋" w:cs="宋体"/>
                <w:color w:val="000000"/>
                <w:kern w:val="0"/>
                <w:sz w:val="30"/>
                <w:szCs w:val="30"/>
              </w:rPr>
              <w:t xml:space="preserve">39.58</w:t>
            </w:r>
            <w:r w:rsidRPr="00081593">
              <w:rPr>
                <w:rFonts w:ascii="仿宋" w:eastAsia="仿宋" w:hAnsi="仿宋" w:cs="宋体" w:hint="eastAsia"/>
                <w:color w:val="000000"/>
                <w:kern w:val="0"/>
                <w:sz w:val="30"/>
                <w:szCs w:val="30"/>
              </w:rPr>
              <w:t xml:space="preserve">万元。其中：基本工资13.34万元、津贴补贴 20.02万元、奖金 4.62万元。其他工资福利1.6万元。</w:t>
            </w:r>
          </w:p>
          <w:p>
            <w:pPr>
              <w:widowControl/>
              <w:spacing w:before="100" w:beforeAutospacing="1" w:after="100" w:afterAutospacing="1" w:line="495" w:lineRule="atLeast"/>
              <w:jc w:val="left"/>
              <w:rPr>
                <w:rFonts w:ascii="仿宋" w:eastAsia="仿宋" w:hAnsi="仿宋" w:cs="宋体"/>
                <w:color w:val="000000"/>
                <w:kern w:val="0"/>
                <w:sz w:val="30"/>
                <w:szCs w:val="30"/>
              </w:rPr>
            </w:pPr>
            <w:r w:rsidRPr="00081593">
              <w:rPr>
                <w:rFonts w:ascii="宋体" w:eastAsia="仿宋" w:hAnsi="宋体" w:cs="宋体" w:hint="eastAsia"/>
                <w:color w:val="000000"/>
                <w:kern w:val="0"/>
                <w:sz w:val="30"/>
                <w:szCs w:val="30"/>
              </w:rPr>
              <w:t xml:space="preserve">  </w:t>
            </w:r>
            <w:r w:rsidRPr="00081593">
              <w:rPr>
                <w:rFonts w:ascii="仿宋" w:eastAsia="仿宋" w:hAnsi="仿宋" w:cs="仿宋" w:hint="eastAsia"/>
                <w:color w:val="000000"/>
                <w:kern w:val="0"/>
                <w:sz w:val="30"/>
                <w:szCs w:val="30"/>
              </w:rPr>
              <w:t xml:space="preserve"> 2</w:t>
            </w:r>
            <w:r w:rsidRPr="00081593">
              <w:rPr>
                <w:rFonts w:ascii="仿宋" w:eastAsia="仿宋" w:hAnsi="仿宋" w:cs="宋体" w:hint="eastAsia"/>
                <w:color w:val="000000"/>
                <w:kern w:val="0"/>
                <w:sz w:val="30"/>
                <w:szCs w:val="30"/>
              </w:rPr>
              <w:t xml:space="preserve">、对个人和家庭的补助7.58万元。其中：退休费7.58万元</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3、商品和服务支出 7.94万元。其中：办公费 2.94万元、公务</w:t>
            </w:r>
            <w:r w:rsidRPr="00081593">
              <w:rPr>
                <w:rFonts w:ascii="仿宋" w:eastAsia="仿宋" w:hAnsi="仿宋" w:cs="宋体" w:hint="eastAsia"/>
                <w:color w:val="000000"/>
                <w:kern w:val="0"/>
                <w:sz w:val="30"/>
                <w:szCs w:val="30"/>
              </w:rPr>
              <w:t xml:space="preserve">用车运行维护费5万元。</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b/>
                <w:bCs/>
                <w:color w:val="000000"/>
                <w:kern w:val="0"/>
                <w:sz w:val="30"/>
                <w:szCs w:val="30"/>
              </w:rPr>
              <w:t xml:space="preserve">三、一般公共预算财政拨款“三公”经费支出情况说明</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b/>
                <w:bCs/>
                <w:color w:val="000000"/>
                <w:kern w:val="0"/>
                <w:sz w:val="30"/>
                <w:szCs w:val="30"/>
              </w:rPr>
              <w:t xml:space="preserve">（一）“三公”经费财政拨款支出预算执行情况说明</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2015年度“三公”经费接待批次为0个，接待人次为0人，财政拨款支出预算为5万元，其中：公务用车运行费预算 5万元，公务接待费预算 0万元。支出决算为5万元，完成预算的 100%，其中：公务用车运行费支出决算为5万元，完成预算的100%；公务接待费支出决算为 0万元，完成预算 0 %.</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b/>
                <w:bCs/>
                <w:color w:val="000000"/>
                <w:kern w:val="0"/>
                <w:sz w:val="30"/>
                <w:szCs w:val="30"/>
              </w:rPr>
              <w:t xml:space="preserve">（二）“三公”经费财政拨款支出决算情况说明</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公务用车运行费支出决算为5万元，完成预算的100%；公务接待费支出决算为0万元，完成预算的0%，具体情况如下：</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公务用车运行费支出5万元。其中：公务用车运行费支出5万元，公务用车保有量为2辆。</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b/>
                <w:bCs/>
                <w:color w:val="000000"/>
                <w:kern w:val="0"/>
                <w:sz w:val="30"/>
                <w:szCs w:val="30"/>
              </w:rPr>
              <w:t xml:space="preserve">（三）“三公”经费与上年执行情况差异说明</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2015年度“三公”经费支出决算数与2014年决算数相比公务用车运行费减少0万元，公务接待费增加0万元。</w:t>
            </w:r>
          </w:p>
          <w:p>
            <w:pPr>
              <w:widowControl/>
              <w:spacing w:before="100" w:beforeAutospacing="1" w:after="100" w:afterAutospacing="1" w:line="495" w:lineRule="atLeast"/>
              <w:ind w:firstLine="480"/>
              <w:jc w:val="center"/>
              <w:rPr>
                <w:rFonts w:ascii="仿宋" w:eastAsia="仿宋" w:hAnsi="仿宋" w:cs="宋体"/>
                <w:color w:val="000000"/>
                <w:kern w:val="0"/>
                <w:sz w:val="30"/>
                <w:szCs w:val="30"/>
              </w:rPr>
            </w:pPr>
            <w:r w:rsidRPr="00081593">
              <w:rPr>
                <w:rFonts w:ascii="宋体" w:eastAsia="仿宋" w:hAnsi="宋体" w:cs="宋体" w:hint="eastAsia"/>
                <w:b/>
                <w:bCs/>
                <w:color w:val="000000"/>
                <w:kern w:val="0"/>
                <w:sz w:val="30"/>
                <w:szCs w:val="30"/>
              </w:rPr>
              <w:t xml:space="preserve"> </w:t>
            </w:r>
          </w:p>
          <w:p>
            <w:pPr>
              <w:widowControl/>
              <w:spacing w:before="100" w:beforeAutospacing="1" w:after="100" w:afterAutospacing="1" w:line="495" w:lineRule="atLeast"/>
              <w:ind w:firstLine="480"/>
              <w:jc w:val="center"/>
              <w:rPr>
                <w:rFonts w:ascii="仿宋" w:eastAsia="仿宋" w:hAnsi="仿宋" w:cs="宋体"/>
                <w:color w:val="000000"/>
                <w:kern w:val="0"/>
                <w:sz w:val="30"/>
                <w:szCs w:val="30"/>
              </w:rPr>
            </w:pPr>
            <w:r w:rsidRPr="00081593">
              <w:rPr>
                <w:rFonts w:ascii="仿宋" w:eastAsia="仿宋" w:hAnsi="仿宋" w:cs="宋体" w:hint="eastAsia"/>
                <w:b/>
                <w:bCs/>
                <w:color w:val="000000"/>
                <w:kern w:val="0"/>
                <w:sz w:val="30"/>
                <w:szCs w:val="30"/>
              </w:rPr>
              <w:t xml:space="preserve">第四部分 名词解释</w:t>
            </w:r>
          </w:p>
          <w:p>
            <w:pPr>
              <w:widowControl/>
              <w:spacing w:before="100" w:beforeAutospacing="1" w:after="100" w:afterAutospacing="1" w:line="495" w:lineRule="atLeast"/>
              <w:ind w:firstLine="480"/>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(一)财政拨款收入:指财政当年拨付的资金。</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(二)上年结转和结余:指以前年度支出预算因客观条件变化未执行完毕、结转到本年度按有关规定继续使用的资金，既包括财政拨款结转和结余，也包括事业收入、经管收入、其他收入的结转和结余。</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(三)社会保障和就业(类)行政事业单位离退休(款)</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（1）事业单位离退休:指用于所属事业单位离退休方面的支出。</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(四)结转下年:指以前年度预算安排、因客观条件发生变化无法按原计划实施，需延迟到以后年度按原规定用途继续使用的资金。</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(五)基本支出:指为保障机构正常运转、完成日常工作任务而发生的人员支出和公用支出。</w:t>
            </w:r>
          </w:p>
          <w:p>
            <w:pPr>
              <w:widowControl/>
              <w:spacing w:before="100" w:beforeAutospacing="1" w:after="100" w:afterAutospacing="1" w:line="495" w:lineRule="atLeast"/>
              <w:ind w:firstLine="480"/>
              <w:jc w:val="left"/>
              <w:rPr>
                <w:rFonts w:ascii="仿宋" w:eastAsia="仿宋" w:hAnsi="仿宋" w:cs="宋体"/>
                <w:color w:val="000000"/>
                <w:kern w:val="0"/>
                <w:sz w:val="30"/>
                <w:szCs w:val="30"/>
              </w:rPr>
            </w:pPr>
            <w:r w:rsidRPr="00081593">
              <w:rPr>
                <w:rFonts w:ascii="仿宋" w:eastAsia="仿宋" w:hAnsi="仿宋" w:cs="宋体" w:hint="eastAsia"/>
                <w:color w:val="000000"/>
                <w:kern w:val="0"/>
                <w:sz w:val="30"/>
                <w:szCs w:val="30"/>
              </w:rPr>
              <w:t xml:space="preserve">（六）“三公”经费是指本部门（包括所属行政单位、参照公务员法管理的事业单位和其他事业单位）通过财政拨款资金安排的因公出国（境）费、公务用车购置及运行费和公务接待费。</w:t>
            </w:r>
          </w:p>
          <w:p>
            <w:pPr>
              <w:widowControl/>
              <w:spacing w:before="100" w:beforeAutospacing="1" w:after="100" w:afterAutospacing="1" w:line="432" w:lineRule="auto"/>
              <w:jc w:val="left"/>
              <w:rPr>
                <w:rFonts w:ascii="仿宋" w:eastAsia="仿宋" w:hAnsi="仿宋" w:cs="宋体"/>
                <w:color w:val="000000"/>
                <w:kern w:val="0"/>
                <w:sz w:val="30"/>
                <w:szCs w:val="30"/>
              </w:rPr>
            </w:pPr>
            <w:r w:rsidRPr="00081593">
              <w:rPr>
                <w:rFonts w:ascii="宋体" w:eastAsia="仿宋" w:hAnsi="宋体" w:cs="宋体" w:hint="eastAsia"/>
                <w:color w:val="000000"/>
                <w:kern w:val="0"/>
                <w:sz w:val="30"/>
                <w:szCs w:val="30"/>
              </w:rPr>
              <w:t xml:space="preserve"> </w:t>
            </w:r>
          </w:p>
        </w:tc>
      </w:tr>
    </w:tbl>
    <w:p>
      <w:pPr>
        <w:rPr>
          <w:rFonts w:ascii="仿宋" w:eastAsia="仿宋" w:hAnsi="仿宋"/>
          <w:sz w:val="30"/>
          <w:szCs w:val="30"/>
        </w:rPr>
      </w:pPr>
    </w:p>
    <w:sectPr w:rsidSect="00081593">
      <w:pgSz w:w="11906" w:h="16838" w:orient="portrait"/>
      <w:pgMar w:top="1440" w:right="1418" w:bottom="1440" w:left="1361" w:header="851" w:footer="992" w:gutter="0"/>
      <w:cols w:num="1" w:space="425">
        <w:col w:w="9127"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3" w:usb2="00000009" w:usb3="00000000" w:csb0="000001FF" w:csb1="00000000"/>
  </w:font>
  <w:font w:name="仿宋">
    <w:panose1 w:val="02010609060101010101"/>
    <w:charset w:val="86"/>
    <w:family w:val="Auto"/>
    <w:pitch w:val="fixed"/>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doNotDisplayPageBoundarie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F7C"/>
    <w:pPr>
      <w:widowControl w:val="0"/>
      <w:jc w:val="both"/>
    </w:pPr>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13063">
      <w:marLeft w:val="0"/>
      <w:marRight w:val="0"/>
      <w:marTop w:val="0"/>
      <w:marBottom w:val="0"/>
      <w:divBdr>
        <w:top w:val="none" w:sz="0" w:space="0" w:color="auto"/>
        <w:left w:val="none" w:sz="0" w:space="0" w:color="auto"/>
        <w:bottom w:val="none" w:sz="0" w:space="0" w:color="auto"/>
        <w:right w:val="none" w:sz="0" w:space="0" w:color="auto"/>
      </w:divBdr>
      <w:divsChild>
        <w:div w:id="666445628">
          <w:marLeft w:val="0"/>
          <w:marRight w:val="0"/>
          <w:marTop w:val="0"/>
          <w:marBottom w:val="0"/>
          <w:divBdr>
            <w:top w:val="none" w:sz="0" w:space="0" w:color="auto"/>
            <w:left w:val="none" w:sz="0" w:space="0" w:color="auto"/>
            <w:bottom w:val="none" w:sz="0" w:space="0" w:color="auto"/>
            <w:right w:val="none" w:sz="0" w:space="0" w:color="auto"/>
          </w:divBdr>
          <w:divsChild>
            <w:div w:id="523907717">
              <w:marLeft w:val="0"/>
              <w:marRight w:val="0"/>
              <w:marTop w:val="0"/>
              <w:marBottom w:val="180"/>
              <w:divBdr>
                <w:top w:val="none" w:sz="0" w:space="0" w:color="auto"/>
                <w:left w:val="none" w:sz="0" w:space="0" w:color="auto"/>
                <w:bottom w:val="none" w:sz="0" w:space="0" w:color="auto"/>
                <w:right w:val="none" w:sz="0" w:space="0" w:color="auto"/>
              </w:divBdr>
              <w:divsChild>
                <w:div w:id="261037813">
                  <w:marLeft w:val="0"/>
                  <w:marRight w:val="0"/>
                  <w:marTop w:val="0"/>
                  <w:marBottom w:val="0"/>
                  <w:divBdr>
                    <w:top w:val="none" w:sz="0" w:space="0" w:color="auto"/>
                    <w:left w:val="none" w:sz="0" w:space="0" w:color="auto"/>
                    <w:bottom w:val="none" w:sz="0" w:space="0" w:color="auto"/>
                    <w:right w:val="none" w:sz="0" w:space="0" w:color="auto"/>
                  </w:divBdr>
                  <w:divsChild>
                    <w:div w:id="1876383520">
                      <w:marLeft w:val="0"/>
                      <w:marRight w:val="0"/>
                      <w:marTop w:val="0"/>
                      <w:marBottom w:val="0"/>
                      <w:divBdr>
                        <w:top w:val="none" w:sz="0" w:space="0" w:color="auto"/>
                        <w:left w:val="none" w:sz="0" w:space="0" w:color="auto"/>
                        <w:bottom w:val="none" w:sz="0" w:space="0" w:color="auto"/>
                        <w:right w:val="none" w:sz="0" w:space="0" w:color="auto"/>
                      </w:divBdr>
                      <w:divsChild>
                        <w:div w:id="1516994221">
                          <w:marLeft w:val="0"/>
                          <w:marRight w:val="0"/>
                          <w:marTop w:val="0"/>
                          <w:marBottom w:val="0"/>
                          <w:divBdr>
                            <w:top w:val="none" w:sz="0" w:space="0" w:color="auto"/>
                            <w:left w:val="none" w:sz="0" w:space="0" w:color="auto"/>
                            <w:bottom w:val="none" w:sz="0" w:space="0" w:color="auto"/>
                            <w:right w:val="none" w:sz="0" w:space="0" w:color="auto"/>
                          </w:divBdr>
                          <w:divsChild>
                            <w:div w:id="1671058937">
                              <w:marLeft w:val="0"/>
                              <w:marRight w:val="0"/>
                              <w:marTop w:val="0"/>
                              <w:marBottom w:val="0"/>
                              <w:divBdr>
                                <w:top w:val="none" w:sz="0" w:space="0" w:color="auto"/>
                                <w:left w:val="none" w:sz="0" w:space="0" w:color="auto"/>
                                <w:bottom w:val="none" w:sz="0" w:space="0" w:color="auto"/>
                                <w:right w:val="none" w:sz="0" w:space="0" w:color="auto"/>
                              </w:divBdr>
                              <w:divsChild>
                                <w:div w:id="892736359">
                                  <w:marLeft w:val="0"/>
                                  <w:marRight w:val="0"/>
                                  <w:marTop w:val="0"/>
                                  <w:marBottom w:val="0"/>
                                  <w:divBdr>
                                    <w:top w:val="none" w:sz="0" w:space="0" w:color="auto"/>
                                    <w:left w:val="none" w:sz="0" w:space="0" w:color="auto"/>
                                    <w:bottom w:val="none" w:sz="0" w:space="0" w:color="auto"/>
                                    <w:right w:val="none" w:sz="0" w:space="0" w:color="auto"/>
                                  </w:divBdr>
                                  <w:divsChild>
                                    <w:div w:id="926842210">
                                      <w:marLeft w:val="0"/>
                                      <w:marRight w:val="0"/>
                                      <w:marTop w:val="0"/>
                                      <w:marBottom w:val="0"/>
                                      <w:divBdr>
                                        <w:top w:val="none" w:sz="0" w:space="0" w:color="auto"/>
                                        <w:left w:val="none" w:sz="0" w:space="0" w:color="auto"/>
                                        <w:bottom w:val="none" w:sz="0" w:space="0" w:color="auto"/>
                                        <w:right w:val="none" w:sz="0" w:space="0" w:color="auto"/>
                                      </w:divBdr>
                                      <w:divsChild>
                                        <w:div w:id="1709913413">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1</Pages>
  <Words>299</Words>
  <Characters>1706</Characters>
  <Application>Microsoft Office Word</Application>
  <DocSecurity>0</DocSecurity>
  <Lines>14</Lines>
  <Paragraphs>4</Paragraphs>
  <CharactersWithSpaces>2001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dcterms:created xsi:type="dcterms:W3CDTF">2018-01-10T09:29:00Z</dcterms:created>
  <dcterms:modified xsi:type="dcterms:W3CDTF">2018-01-10T09:32:00Z</dcterms:modified>
</cp:coreProperties>
</file>