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hint="eastAsia"/>
        </w:rPr>
      </w:pPr>
    </w:p>
    <w:p>
      <w:pPr/>
    </w:p>
    <w:p>
      <w:pPr/>
    </w:p>
    <w:tbl>
      <w:tblPr>
        <w:tblStyle w:val="TableNormal"/>
        <w:tblW w:w="5000" w:type="pct"/>
        <w:jc w:val="center"/>
        <w:tblCellSpacing w:w="0" w:type="dxa"/>
        <w:tblCellMar>
          <w:left w:w="0" w:type="dxa"/>
          <w:right w:w="0" w:type="dxa"/>
        </w:tblCellMar>
        <w:tblLook w:val="04A0" w:firstRow="1" w:lastRow="0" w:firstColumn="1" w:lastColumn="0" w:noHBand="0" w:noVBand="1"/>
      </w:tblPr>
      <w:tblGrid>
        <w:gridCol w:w="9184"/>
      </w:tblGrid>
      <w:tr w:rsidTr="00F665F6">
        <w:trPr>
          <w:trHeight w:val="675"/>
          <w:tblCellSpacing w:w="0" w:type="dxa"/>
          <w:jc w:val="center"/>
        </w:trPr>
        <w:tc>
          <w:tcPr>
            <w:tcW w:w="0" w:type="auto"/>
            <w:vAlign w:val="center"/>
            <w:hideMark/>
          </w:tcPr>
          <w:p>
            <w:pPr>
              <w:widowControl/>
              <w:spacing w:line="480" w:lineRule="auto"/>
              <w:jc w:val="center"/>
              <w:rPr>
                <w:rFonts w:ascii="宋体" w:eastAsia="宋体" w:hAnsi="宋体" w:cs="宋体"/>
                <w:b/>
                <w:bCs/>
                <w:color w:val="000000"/>
                <w:kern w:val="0"/>
                <w:sz w:val="39"/>
                <w:szCs w:val="39"/>
              </w:rPr>
            </w:pPr>
            <w:r>
              <w:rPr>
                <w:rFonts w:ascii="宋体" w:eastAsia="宋体" w:hAnsi="宋体" w:cs="宋体" w:hint="eastAsia"/>
                <w:b/>
                <w:bCs/>
                <w:color w:val="000000"/>
                <w:kern w:val="0"/>
                <w:sz w:val="39"/>
                <w:szCs w:val="39"/>
              </w:rPr>
              <w:t xml:space="preserve">化隆县公伯峡管委会2015年决算情况说明</w:t>
            </w:r>
          </w:p>
        </w:tc>
      </w:tr>
      <w:tr w:rsidTr="00F665F6">
        <w:trPr>
          <w:trHeight w:val="120"/>
          <w:tblCellSpacing w:w="0" w:type="dxa"/>
          <w:jc w:val="center"/>
        </w:trPr>
        <w:tc>
          <w:tcPr>
            <w:tcW w:w="0" w:type="auto"/>
            <w:vAlign w:val="center"/>
            <w:hideMark/>
          </w:tcPr>
          <w:p>
            <w:pPr>
              <w:widowControl/>
              <w:jc w:val="left"/>
              <w:rPr>
                <w:rFonts w:eastAsia="宋体" w:cs="宋体"/>
              </w:rPr>
            </w:pPr>
          </w:p>
        </w:tc>
      </w:tr>
      <w:tr w:rsidTr="00F665F6">
        <w:trPr>
          <w:tblCellSpacing w:w="0" w:type="dxa"/>
          <w:jc w:val="center"/>
        </w:trPr>
        <w:tc>
          <w:tcPr>
            <w:tcW w:w="0" w:type="auto"/>
            <w:hideMark/>
          </w:tcPr>
          <w:p>
            <w:pPr>
              <w:widowControl/>
              <w:spacing w:line="460" w:lineRule="exact"/>
              <w:ind w:firstLine="480"/>
              <w:jc w:val="center"/>
              <w:rPr>
                <w:rFonts w:ascii="宋体" w:eastAsia="宋体" w:hAnsi="宋体" w:cs="宋体"/>
                <w:color w:val="000000"/>
                <w:kern w:val="0"/>
                <w:sz w:val="24"/>
                <w:szCs w:val="24"/>
              </w:rPr>
            </w:pPr>
            <w:r>
              <w:rPr>
                <w:rFonts w:ascii="宋体" w:eastAsia="宋体" w:hAnsi="宋体" w:cs="Times New Roman" w:hint="eastAsia"/>
                <w:b/>
                <w:bCs/>
                <w:color w:val="000000"/>
                <w:kern w:val="0"/>
                <w:sz w:val="24"/>
                <w:szCs w:val="24"/>
              </w:rPr>
              <w:t xml:space="preserve">第一部分</w:t>
            </w:r>
            <w:r>
              <w:rPr>
                <w:rFonts w:ascii="Calibri" w:eastAsia="宋体" w:hAnsi="Calibri" w:cs="Times New Roman"/>
                <w:b/>
                <w:bCs/>
                <w:color w:val="000000"/>
                <w:kern w:val="0"/>
                <w:sz w:val="24"/>
                <w:szCs w:val="24"/>
              </w:rPr>
              <w:t xml:space="preserve"> </w:t>
            </w:r>
            <w:r>
              <w:rPr>
                <w:rFonts w:ascii="宋体" w:eastAsia="宋体" w:hAnsi="宋体" w:cs="Times New Roman" w:hint="eastAsia"/>
                <w:b/>
                <w:bCs/>
                <w:color w:val="000000"/>
                <w:kern w:val="0"/>
                <w:sz w:val="24"/>
                <w:szCs w:val="24"/>
              </w:rPr>
              <w:t xml:space="preserve">化隆县公伯峡管委会概况</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一、主要职能</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（1）认真贯彻执行党的路线、方针、政策，落实上级安排的各项工作任务。教育和管理全委各族干部群众，抓好经济建设，维护社会稳定。</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（2）负责抓好管委党建工作、群众宣传工作。抓好精神文明建设，丰富群众文化生活，提倡移风易俗，反对封建迷信，破除陈规陋习，树立社会主义新风尚。</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（3）完成县委、县政府交办的其他工作任务。 </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（4）执行国家行政机关的决定和命令。</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（5）执行本行政区域内的经济和社会发展计划、预算，管理本行政区域内的经济、教育、文化、卫生事业 和财政、民政、计划生育等行政工作；取缔非法经济活动，调解和处理民事纠纷，打击刑事犯罪，维护社会稳定。</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（6）制定和组织实施村镇建设规划，经济和社会发展计划，制定产业结构调整方案，组织指导好各业生产，搞好商品流通，不断培育市场体系，组织经济运行，促进经济发展。</w:t>
            </w:r>
          </w:p>
          <w:p>
            <w:pPr>
              <w:widowControl/>
              <w:spacing w:line="460" w:lineRule="exact"/>
              <w:ind w:firstLine="600" w:firstLineChars="25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二、部门决算单位构成</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2015年度决算编制范围包括各级预算单位一个。单位年末人员编制人数17人，其中在职人员17人，离休人员0人，退休人员1人。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Times New Roman" w:hint="eastAsia"/>
                <w:b/>
                <w:bCs/>
                <w:color w:val="000000"/>
                <w:kern w:val="0"/>
                <w:sz w:val="24"/>
                <w:szCs w:val="24"/>
              </w:rPr>
              <w:t xml:space="preserve">第二部分公伯峡管委会</w:t>
            </w:r>
            <w:r>
              <w:rPr>
                <w:rFonts w:ascii="Calibri" w:eastAsia="宋体" w:hAnsi="Calibri" w:cs="Times New Roman"/>
                <w:b/>
                <w:bCs/>
                <w:color w:val="000000"/>
                <w:kern w:val="0"/>
                <w:sz w:val="24"/>
                <w:szCs w:val="24"/>
              </w:rPr>
              <w:t xml:space="preserve">2015</w:t>
            </w:r>
            <w:r>
              <w:rPr>
                <w:rFonts w:ascii="宋体" w:eastAsia="宋体" w:hAnsi="宋体" w:cs="Times New Roman" w:hint="eastAsia"/>
                <w:b/>
                <w:bCs/>
                <w:color w:val="000000"/>
                <w:kern w:val="0"/>
                <w:sz w:val="24"/>
                <w:szCs w:val="24"/>
              </w:rPr>
              <w:t xml:space="preserve">年度部门决算表</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一、收入支出决算总表</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二、收入决算表</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三、支出决算表</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四、财政拨款收入支出决算总表</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五、一般公共预算财政拨款支出决算表</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六、一般公共预算财政拨款基本支出决算表</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七、一般公共预算财政拨款“三公”经费支出决算表</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八、政府性基金预算财政拨款收入支出决算表</w:t>
            </w:r>
          </w:p>
          <w:p>
            <w:pPr>
              <w:widowControl/>
              <w:spacing w:line="460" w:lineRule="exact"/>
              <w:ind w:firstLine="480"/>
              <w:jc w:val="center"/>
              <w:rPr>
                <w:rFonts w:ascii="宋体" w:eastAsia="宋体" w:hAnsi="宋体" w:cs="宋体"/>
                <w:color w:val="000000"/>
                <w:kern w:val="0"/>
                <w:sz w:val="24"/>
                <w:szCs w:val="24"/>
              </w:rPr>
            </w:pPr>
            <w:r>
              <w:rPr>
                <w:rFonts w:ascii="宋体" w:eastAsia="宋体" w:hAnsi="宋体" w:cs="Times New Roman" w:hint="eastAsia"/>
                <w:b/>
                <w:bCs/>
                <w:color w:val="000000"/>
                <w:kern w:val="0"/>
                <w:sz w:val="24"/>
                <w:szCs w:val="24"/>
              </w:rPr>
              <w:t xml:space="preserve">第三部分</w:t>
            </w:r>
            <w:r>
              <w:rPr>
                <w:rFonts w:ascii="Calibri" w:eastAsia="宋体" w:hAnsi="Calibri" w:cs="Times New Roman"/>
                <w:b/>
                <w:bCs/>
                <w:color w:val="000000"/>
                <w:kern w:val="0"/>
                <w:sz w:val="24"/>
                <w:szCs w:val="24"/>
              </w:rPr>
              <w:t xml:space="preserve"> </w:t>
            </w:r>
            <w:r>
              <w:rPr>
                <w:rFonts w:ascii="宋体" w:eastAsia="宋体" w:hAnsi="宋体" w:cs="Times New Roman" w:hint="eastAsia"/>
                <w:b/>
                <w:bCs/>
                <w:color w:val="000000"/>
                <w:kern w:val="0"/>
                <w:sz w:val="24"/>
                <w:szCs w:val="24"/>
              </w:rPr>
              <w:t xml:space="preserve">化隆县公伯峡管委会</w:t>
            </w:r>
            <w:r>
              <w:rPr>
                <w:rFonts w:ascii="Calibri" w:eastAsia="宋体" w:hAnsi="Calibri" w:cs="Times New Roman"/>
                <w:b/>
                <w:bCs/>
                <w:color w:val="000000"/>
                <w:kern w:val="0"/>
                <w:sz w:val="24"/>
                <w:szCs w:val="24"/>
              </w:rPr>
              <w:t xml:space="preserve">2015</w:t>
            </w:r>
            <w:r>
              <w:rPr>
                <w:rFonts w:ascii="宋体" w:eastAsia="宋体" w:hAnsi="宋体" w:cs="Times New Roman" w:hint="eastAsia"/>
                <w:b/>
                <w:bCs/>
                <w:color w:val="000000"/>
                <w:kern w:val="0"/>
                <w:sz w:val="24"/>
                <w:szCs w:val="24"/>
              </w:rPr>
              <w:t xml:space="preserve">年度部门决算情况说明</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Times New Roman" w:hint="eastAsia"/>
                <w:b/>
                <w:bCs/>
                <w:color w:val="000000"/>
                <w:kern w:val="0"/>
                <w:sz w:val="24"/>
                <w:szCs w:val="24"/>
              </w:rPr>
              <w:t xml:space="preserve">一、关于化隆县公伯峡管委会</w:t>
            </w:r>
            <w:r>
              <w:rPr>
                <w:rFonts w:ascii="Calibri" w:eastAsia="宋体" w:hAnsi="Calibri" w:cs="Times New Roman"/>
                <w:b/>
                <w:bCs/>
                <w:color w:val="000000"/>
                <w:kern w:val="0"/>
                <w:sz w:val="24"/>
                <w:szCs w:val="24"/>
              </w:rPr>
              <w:t xml:space="preserve">2015</w:t>
            </w:r>
            <w:r>
              <w:rPr>
                <w:rFonts w:ascii="宋体" w:eastAsia="宋体" w:hAnsi="宋体" w:cs="Times New Roman" w:hint="eastAsia"/>
                <w:b/>
                <w:bCs/>
                <w:color w:val="000000"/>
                <w:kern w:val="0"/>
                <w:sz w:val="24"/>
                <w:szCs w:val="24"/>
              </w:rPr>
              <w:t xml:space="preserve">年度部门决算收支情况总体说明</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化隆县公伯峡管委会2015年度收支总决算164.96万元，比2014年收支均有所增长。主要原因是：工资调整所引起医疗保险、住房公积金都有所增长。其中：</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（一）收入总计168.24万元。包括：</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1、财政拨款收入95万元，为县财政当年拨付资金。</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2、其他收入73.2万元，为预算单位在“财政拨款收入”、“事业收入”、“经营收入”之外取得的收入。例如：存款利息收入和其他收入。</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（二）支出总计164.96万元。包括：</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1、一般公共服务（类）支出143.78万元，主要用于工业和商务局正常运转、开展公共管理活动所发生的基本支出和项目支出。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2、社会保障和就业(类)支出21.18万元，主要用于退休人员经费和退休干部管理机构为退休人员提供管理和服务所发生的工作支出。</w:t>
            </w:r>
          </w:p>
          <w:p>
            <w:pPr>
              <w:pStyle w:val="Heading1"/>
              <w:spacing w:line="460" w:lineRule="exact"/>
              <w:ind w:firstLine="560" w:firstLineChars="200"/>
              <w:rPr>
                <w:rFonts w:ascii="宋体" w:eastAsia="宋体" w:hAnsi="宋体" w:asciiTheme="minorEastAsia" w:eastAsiaTheme="minorEastAsia" w:hAnsiTheme="minorEastAsia"/>
                <w:b w:val="0"/>
                <w:kern w:val="0"/>
                <w:sz w:val="28"/>
                <w:szCs w:val="28"/>
              </w:rPr>
            </w:pPr>
            <w:r w:rsidRPr="000E77EE">
              <w:rPr>
                <w:rFonts w:ascii="宋体" w:eastAsia="宋体" w:hAnsi="宋体" w:asciiTheme="minorEastAsia" w:eastAsiaTheme="minorEastAsia" w:hAnsiTheme="minorEastAsia"/>
                <w:b w:val="0"/>
                <w:kern w:val="0"/>
                <w:sz w:val="28"/>
                <w:szCs w:val="28"/>
              </w:rPr>
              <w:t xml:space="preserve">3</w:t>
            </w:r>
            <w:r w:rsidRPr="000E77EE">
              <w:rPr>
                <w:rFonts w:ascii="宋体" w:eastAsia="宋体" w:hAnsi="宋体" w:asciiTheme="minorEastAsia" w:eastAsiaTheme="minorEastAsia" w:hAnsiTheme="minorEastAsia" w:hint="eastAsia"/>
                <w:b w:val="0"/>
                <w:kern w:val="0"/>
                <w:sz w:val="28"/>
                <w:szCs w:val="28"/>
              </w:rPr>
              <w:t xml:space="preserve">、结转下年</w:t>
            </w:r>
            <w:r w:rsidRPr="000E77EE">
              <w:rPr>
                <w:rFonts w:ascii="宋体" w:eastAsia="宋体" w:hAnsi="宋体" w:asciiTheme="minorEastAsia" w:eastAsiaTheme="minorEastAsia" w:hAnsiTheme="minorEastAsia"/>
                <w:b w:val="0"/>
                <w:kern w:val="0"/>
                <w:sz w:val="28"/>
                <w:szCs w:val="28"/>
              </w:rPr>
              <w:t xml:space="preserve">3.59</w:t>
            </w:r>
            <w:r w:rsidRPr="000E77EE">
              <w:rPr>
                <w:rFonts w:ascii="宋体" w:eastAsia="宋体" w:hAnsi="宋体" w:asciiTheme="minorEastAsia" w:eastAsiaTheme="minorEastAsia" w:hAnsiTheme="minorEastAsia" w:hint="eastAsia"/>
                <w:b w:val="0"/>
                <w:kern w:val="0"/>
                <w:sz w:val="28"/>
                <w:szCs w:val="28"/>
              </w:rPr>
              <w:t xml:space="preserve">万元，为本年度或以前年度预算安排、因客观条件发生变化无法按原计划实施，需要延迟到以后年度按有关规定继续使用的资金，既财政拨款结转和结余。</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Times New Roman" w:hint="eastAsia"/>
                <w:b/>
                <w:bCs/>
                <w:color w:val="000000"/>
                <w:kern w:val="0"/>
                <w:sz w:val="24"/>
                <w:szCs w:val="24"/>
              </w:rPr>
              <w:t xml:space="preserve">二、关于化隆县公伯峡管委会</w:t>
            </w:r>
            <w:r>
              <w:rPr>
                <w:rFonts w:ascii="Calibri" w:eastAsia="宋体" w:hAnsi="Calibri" w:cs="Times New Roman"/>
                <w:b/>
                <w:bCs/>
                <w:color w:val="000000"/>
                <w:kern w:val="0"/>
                <w:sz w:val="24"/>
                <w:szCs w:val="24"/>
              </w:rPr>
              <w:t xml:space="preserve">2015</w:t>
            </w:r>
            <w:r>
              <w:rPr>
                <w:rFonts w:ascii="宋体" w:eastAsia="宋体" w:hAnsi="宋体" w:cs="Times New Roman" w:hint="eastAsia"/>
                <w:b/>
                <w:bCs/>
                <w:color w:val="000000"/>
                <w:kern w:val="0"/>
                <w:sz w:val="24"/>
                <w:szCs w:val="24"/>
              </w:rPr>
              <w:t xml:space="preserve">年度一般公共预算财政拨款支出决算情况说明</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（一）财政拨款支出决算变化情况。化隆县公伯峡管委会2015年度财政拨款支出164.96万元。2015年决算数比2014年增加，主要原因：工资调整所引起医疗保险、住房公积金都有所增长，人员经费增加。</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（二）财政拨款支出决算构成情况。2015年化隆县公伯峡管委会财政拨款用于以下方面：一般公共服务（类）支出143.78万元，占87%；社会保障和就业(类)支出21.18万元，占12.8%。</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（三）一般公共预算财政拨款基本支出决算情况说明</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2015年度财政拨款基本支出95万元。其中：</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1、工资福利支出62万元。其中：基本工资19.28万元、津贴补贴29.19万元、奖金9.83万元、。</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2、对个人和家庭的补助24.6万元。其中：退休费21.18万元、生活补助3.42万元。</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3、商品和服务支出78.39万元。其中：办公费2.46万元、电费0.4万元、邮电费0.05万元、取暖费2.3万元、差旅费0.35万元、会议费67.31万元、培训费0.15万元、维护费1.18万元、公务接待费1.08万元、劳务费0.7万元、公务用车运行维护费2.41万元。</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Times New Roman" w:hint="eastAsia"/>
                <w:b/>
                <w:bCs/>
                <w:color w:val="000000"/>
                <w:kern w:val="0"/>
                <w:sz w:val="24"/>
                <w:szCs w:val="24"/>
              </w:rPr>
              <w:t xml:space="preserve">三、一般公共预算财政拨款“三公”经费支出情况说明</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（一）“三公”经费财政拨款支出预算执行情况说明</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2015年度</w:t>
            </w:r>
            <w:r w:rsidRPr="00F30F09">
              <w:rPr>
                <w:rFonts w:ascii="宋体" w:eastAsia="宋体" w:hAnsi="宋体" w:cs="宋体" w:hint="eastAsia"/>
                <w:color w:val="000000"/>
                <w:kern w:val="0"/>
                <w:sz w:val="24"/>
                <w:szCs w:val="24"/>
              </w:rPr>
              <w:t xml:space="preserve">“三公”经费</w:t>
            </w:r>
            <w:r>
              <w:rPr>
                <w:rFonts w:ascii="宋体" w:eastAsia="宋体" w:hAnsi="宋体" w:cs="宋体" w:hint="eastAsia"/>
                <w:color w:val="000000"/>
                <w:kern w:val="0"/>
                <w:sz w:val="24"/>
                <w:szCs w:val="24"/>
              </w:rPr>
              <w:t xml:space="preserve">接待批次为16个，接待人次为88人，“三公”经费财政拨款支出预算为80万元，其中：公务用车运行费预算3万元，公务接待费预算2万元，会议费为75万元。支出决算为70.8万元，完成预算的88.5%，其中：公务用车运行费支出决算为2.41万元，完成预算的80.3%；公务接待费支出决算为1.08万元，完成预算54%，会议费支出决算为67.31万元，完成预算89.7%。</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（二）“三公”经费财政拨款支出决算情况说明</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公务用车运行费支出决算为</w:t>
            </w:r>
            <w:r w:rsidR="0076019D">
              <w:rPr>
                <w:rFonts w:ascii="宋体" w:eastAsia="宋体" w:hAnsi="宋体" w:cs="宋体" w:hint="eastAsia"/>
                <w:color w:val="000000"/>
                <w:kern w:val="0"/>
                <w:sz w:val="24"/>
                <w:szCs w:val="24"/>
              </w:rPr>
              <w:t xml:space="preserve">1.72</w:t>
            </w:r>
            <w:r>
              <w:rPr>
                <w:rFonts w:ascii="宋体" w:eastAsia="宋体" w:hAnsi="宋体" w:cs="宋体" w:hint="eastAsia"/>
                <w:color w:val="000000"/>
                <w:kern w:val="0"/>
                <w:sz w:val="24"/>
                <w:szCs w:val="24"/>
              </w:rPr>
              <w:t xml:space="preserve">万元，完成预算的80.3%；公务接待费支出决算为1.08万元，完成预算54%，会议费支出决算为67.31万元，完成预算89.7%。具体情况如下：</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1、公务用车运行费支出</w:t>
            </w:r>
            <w:r w:rsidR="0076019D">
              <w:rPr>
                <w:rFonts w:ascii="宋体" w:eastAsia="宋体" w:hAnsi="宋体" w:cs="宋体" w:hint="eastAsia"/>
                <w:color w:val="000000"/>
                <w:kern w:val="0"/>
                <w:sz w:val="24"/>
                <w:szCs w:val="24"/>
              </w:rPr>
              <w:t xml:space="preserve">1.72</w:t>
            </w:r>
            <w:r>
              <w:rPr>
                <w:rFonts w:ascii="宋体" w:eastAsia="宋体" w:hAnsi="宋体" w:cs="宋体" w:hint="eastAsia"/>
                <w:color w:val="000000"/>
                <w:kern w:val="0"/>
                <w:sz w:val="24"/>
                <w:szCs w:val="24"/>
              </w:rPr>
              <w:t xml:space="preserve">万元。其中：公务用车运行费支出</w:t>
            </w:r>
            <w:r w:rsidR="0076019D">
              <w:rPr>
                <w:rFonts w:ascii="宋体" w:eastAsia="宋体" w:hAnsi="宋体" w:cs="宋体" w:hint="eastAsia"/>
                <w:color w:val="000000"/>
                <w:kern w:val="0"/>
                <w:sz w:val="24"/>
                <w:szCs w:val="24"/>
              </w:rPr>
              <w:t xml:space="preserve">1.72</w:t>
            </w:r>
            <w:r>
              <w:rPr>
                <w:rFonts w:ascii="宋体" w:eastAsia="宋体" w:hAnsi="宋体" w:cs="宋体" w:hint="eastAsia"/>
                <w:color w:val="000000"/>
                <w:kern w:val="0"/>
                <w:sz w:val="24"/>
                <w:szCs w:val="24"/>
              </w:rPr>
              <w:t xml:space="preserve">万元，公务用车保有量为1辆。</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2、公务接待费支出1.08万元。</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（三）“三公”经费与上年执行情况差异说明</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2015年度“三公”经费支出决算数与2014</w:t>
            </w:r>
            <w:r w:rsidR="0000009F">
              <w:rPr>
                <w:rFonts w:ascii="宋体" w:eastAsia="宋体" w:hAnsi="宋体" w:cs="宋体" w:hint="eastAsia"/>
                <w:color w:val="000000"/>
                <w:kern w:val="0"/>
                <w:sz w:val="24"/>
                <w:szCs w:val="24"/>
              </w:rPr>
              <w:t xml:space="preserve">年决算数相比公务用车运行费增加0.14</w:t>
            </w:r>
            <w:r>
              <w:rPr>
                <w:rFonts w:ascii="宋体" w:eastAsia="宋体" w:hAnsi="宋体" w:cs="宋体" w:hint="eastAsia"/>
                <w:color w:val="000000"/>
                <w:kern w:val="0"/>
                <w:sz w:val="24"/>
                <w:szCs w:val="24"/>
              </w:rPr>
              <w:t xml:space="preserve">万元，公务接待费增加</w:t>
            </w:r>
            <w:r w:rsidR="0000009F">
              <w:rPr>
                <w:rFonts w:ascii="宋体" w:eastAsia="宋体" w:hAnsi="宋体" w:cs="宋体" w:hint="eastAsia"/>
                <w:color w:val="000000"/>
                <w:kern w:val="0"/>
                <w:sz w:val="24"/>
                <w:szCs w:val="24"/>
              </w:rPr>
              <w:t xml:space="preserve">0.24</w:t>
            </w:r>
            <w:r>
              <w:rPr>
                <w:rFonts w:ascii="宋体" w:eastAsia="宋体" w:hAnsi="宋体" w:cs="宋体" w:hint="eastAsia"/>
                <w:color w:val="000000"/>
                <w:kern w:val="0"/>
                <w:sz w:val="24"/>
                <w:szCs w:val="24"/>
              </w:rPr>
              <w:t xml:space="preserve">万元，</w:t>
            </w:r>
            <w:r w:rsidR="00CC6B38">
              <w:rPr>
                <w:rFonts w:ascii="宋体" w:eastAsia="宋体" w:hAnsi="宋体" w:cs="宋体" w:hint="eastAsia"/>
                <w:color w:val="000000"/>
                <w:kern w:val="0"/>
                <w:sz w:val="24"/>
                <w:szCs w:val="24"/>
              </w:rPr>
              <w:t xml:space="preserve">与上年增幅不大</w:t>
            </w:r>
            <w:r w:rsidR="00F665F6">
              <w:rPr>
                <w:rFonts w:ascii="宋体" w:eastAsia="宋体" w:hAnsi="宋体" w:cs="宋体" w:hint="eastAsia"/>
                <w:color w:val="000000"/>
                <w:kern w:val="0"/>
                <w:sz w:val="24"/>
                <w:szCs w:val="24"/>
              </w:rPr>
              <w:t xml:space="preserve">。</w:t>
            </w:r>
          </w:p>
          <w:p>
            <w:pPr>
              <w:widowControl/>
              <w:spacing w:line="460" w:lineRule="exact"/>
              <w:ind w:firstLine="480"/>
              <w:jc w:val="center"/>
              <w:rPr>
                <w:rFonts w:ascii="宋体" w:eastAsia="宋体" w:hAnsi="宋体" w:cs="宋体"/>
                <w:color w:val="000000"/>
                <w:kern w:val="0"/>
                <w:sz w:val="24"/>
                <w:szCs w:val="24"/>
              </w:rPr>
            </w:pPr>
            <w:r>
              <w:rPr>
                <w:rFonts w:ascii="宋体" w:eastAsia="宋体" w:hAnsi="宋体" w:cs="Times New Roman" w:hint="eastAsia"/>
                <w:b/>
                <w:bCs/>
                <w:color w:val="000000"/>
                <w:kern w:val="0"/>
                <w:sz w:val="24"/>
                <w:szCs w:val="24"/>
              </w:rPr>
              <w:t xml:space="preserve">第四部分</w:t>
            </w:r>
            <w:r>
              <w:rPr>
                <w:rFonts w:ascii="Calibri" w:eastAsia="宋体" w:hAnsi="Calibri" w:cs="Times New Roman"/>
                <w:b/>
                <w:bCs/>
                <w:color w:val="000000"/>
                <w:kern w:val="0"/>
                <w:sz w:val="24"/>
                <w:szCs w:val="24"/>
              </w:rPr>
              <w:t xml:space="preserve"> </w:t>
            </w:r>
            <w:r>
              <w:rPr>
                <w:rFonts w:ascii="宋体" w:eastAsia="宋体" w:hAnsi="宋体" w:cs="Times New Roman" w:hint="eastAsia"/>
                <w:b/>
                <w:bCs/>
                <w:color w:val="000000"/>
                <w:kern w:val="0"/>
                <w:sz w:val="24"/>
                <w:szCs w:val="24"/>
              </w:rPr>
              <w:t xml:space="preserve">名词解释</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(一)财政拨款收入:指财政当年拨付的资金。</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(二)上级补助收入：指直属上级部门拨付资金。</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(三)事业收入:指事业单位开展业务活动取得的收入。</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(四)事业单位经营收入:指事业单位在业务活动之外开展非独立核算经营活动取得的收入。</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(五)下级单位上缴收入：指所属的事业单位按有关规定上缴的收入。</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(六)其他收入:指预算单位在“财政拨款收入”、“事业收入”、“经营收入”之外取得的收入。</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(八)上年结转和结余:指以前年度支出预算因客观条件变化未执行完毕、结转到本年度按有关规定继续使用的资金，既包括财政拨款结转和结余，也包括事业收入、经管收入、其他收入的结转和结余。</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(九)一般公共服务(类)档案事务(款):指机关档案管理方面的支出。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(十)教育(类)教育(款)</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1、教育:指所属学校用于教学等方面的支出。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2、干部教育:指所属干部教育单位用于教学方面的支出。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(十一)科学技术(类)应用研究(款)：指所属科研单位用于社会公益研究、高技术研究筹方面的支出。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(十二)科学技术(类)科技条件与服务(款)：指所属科研单位用于改善科技条件方面的支出。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(十三)科学技术(类) 其他科学技术支出(款)：指用于</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科技业务管理、培训方面的支出。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(十四) 文化体育与传媒(类) 新闻出版(款)：指用于所属新闻等单位的支出。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(十五) 文化体育与传媒(类)其他文化体育与传媒支出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(款)：指所属出版单位用于文化产业发展的支出。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(十六)社会保障和就业(类)行政事业单位离退休(款)</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（1）行政单位离退休:指所属行政单位实行归口管理的离退休经费方面的支出。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（2）事业单位离退休:指用于所属事业单位离退休方面的支出。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（3）离退休人员管理机构:指用于离退休人员管理机构方面的支出。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（4）未归口管理的行政单位离退休:指所属行政单位未实行归口管理的离退休经费方面的支出。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(十七)医疗卫生(类)公立医院(款)</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1、行业医院:指所属医疗卫生单位用于医疗卫生方面的支出。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2、重大公共卫生专项:指所属医疗卫生单位用于重大疾病预防控制和突发公共卫生事件处置方面的支出。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(十八)住房保障支出(类)住房改革支出(款)</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1、住房公积金:指按照国家统一规定，按规定比例为职工缴纳的住房公积金。</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2、购房补贴:指1998年住房分配货币化改革以后，按照国家房改政策规定，向无房职工、住房面积未达到规定标准的职工发放的住房补贴。</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(十九)结转下年:指以前年度预算安排、因客观条件发生变化无法按原计划实施，需延迟到以后年度按原规定用途继续使用的资金。</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(二十)基本支出:指为保障机构正常运转、完成日常工作任务而发生的人员支出和公用支出。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(二十一)项目支出:指在基本支出之外为完成特定行政任务和事业发展目标所发生的支出。</w:t>
            </w:r>
          </w:p>
          <w:p>
            <w:pPr>
              <w:widowControl/>
              <w:spacing w:line="460" w:lineRule="exac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（二十二）“三公”经费是指本部门（包括所属行政单位、参照公务员法管理的事业单位和其他事业单位）通过财政拨款资金安排的因公出国（境）费、公务用车购置及运行费和公务接待费。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60" w:lineRule="exact"/>
              <w:jc w:val="left"/>
              <w:rPr>
                <w:rFonts w:ascii="宋体" w:eastAsia="宋体" w:hAnsi="宋体" w:cs="宋体"/>
                <w:color w:val="000000"/>
                <w:kern w:val="0"/>
                <w:sz w:val="24"/>
                <w:szCs w:val="24"/>
              </w:rPr>
            </w:pPr>
            <w:r>
              <w:rPr>
                <w:rFonts w:ascii="Times New Roman" w:eastAsia="宋体" w:hAnsi="Times New Roman" w:cs="Times New Roman"/>
                <w:color w:val="000000"/>
                <w:szCs w:val="21"/>
              </w:rPr>
              <w:t xml:space="preserve"> </w:t>
            </w:r>
          </w:p>
          <w:p>
            <w:pPr>
              <w:widowControl/>
              <w:spacing w:before="100" w:beforeAutospacing="1" w:after="100" w:afterAutospacing="1" w:line="460" w:lineRule="exact"/>
              <w:jc w:val="left"/>
              <w:rPr>
                <w:rFonts w:ascii="宋体" w:eastAsia="宋体" w:hAnsi="宋体" w:cs="宋体"/>
                <w:color w:val="000000"/>
                <w:kern w:val="0"/>
                <w:sz w:val="24"/>
                <w:szCs w:val="24"/>
              </w:rPr>
            </w:pPr>
            <w:r>
              <w:rPr>
                <w:rFonts w:ascii="Times New Roman" w:eastAsia="宋体" w:hAnsi="Times New Roman" w:cs="Times New Roman"/>
                <w:color w:val="000000"/>
                <w:szCs w:val="21"/>
              </w:rPr>
              <w:t xml:space="preserve"> </w:t>
            </w:r>
          </w:p>
        </w:tc>
      </w:tr>
    </w:tbl>
    <w:p>
      <w:pPr>
        <w:spacing w:line="460" w:lineRule="exact"/>
      </w:pPr>
    </w:p>
    <w:sectPr w:rsidSect="00F767BD">
      <w:pgSz w:w="11906" w:h="16838" w:orient="portrait"/>
      <w:pgMar w:top="1440" w:right="1361" w:bottom="1440" w:left="1361" w:header="851" w:footer="992" w:gutter="0"/>
      <w:cols w:num="1" w:space="425">
        <w:col w:w="9184"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F6"/>
    <w:pPr>
      <w:widowControl w:val="0"/>
      <w:jc w:val="both"/>
    </w:pPr>
    <w:rPr/>
  </w:style>
  <w:style w:type="paragraph" w:styleId="Heading1">
    <w:name w:val="Heading 1"/>
    <w:basedOn w:val="Normal"/>
    <w:next w:val="Normal"/>
    <w:uiPriority w:val="9"/>
    <w:qFormat/>
    <w:rsid w:val="00F665F6"/>
    <w:pPr>
      <w:keepNext/>
      <w:keepLines/>
      <w:spacing w:before="340" w:after="330" w:line="576" w:lineRule="auto"/>
      <w:outlineLvl w:val="0"/>
    </w:pPr>
    <w:rPr>
      <w:rFonts w:eastAsia="宋体" w:cs="宋体"/>
      <w:b/>
      <w:bCs/>
      <w:kern w:val="44"/>
      <w:sz w:val="44"/>
      <w:szCs w:val="4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character" w:customStyle="1" w:styleId="标题1Char">
    <w:name w:val="标题 1 Char"/>
    <w:basedOn w:val="DefaultParagraphFont"/>
    <w:link w:val="Heading1"/>
    <w:uiPriority w:val="9"/>
    <w:rsid w:val="00F665F6"/>
    <w:rPr>
      <w:rFonts w:eastAsia="宋体" w:cs="宋体"/>
      <w:b/>
      <w:bCs/>
      <w:kern w:val="44"/>
      <w:sz w:val="44"/>
      <w:szCs w:val="44"/>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764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11</TotalTime>
  <Pages>5</Pages>
  <Words>520</Words>
  <Characters>2969</Characters>
  <Application>Microsoft Office Word</Application>
  <DocSecurity>0</DocSecurity>
  <Lines>24</Lines>
  <Paragraphs>6</Paragraphs>
  <CharactersWithSpaces>3483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2018-01-03T03:28:00Z</dcterms:created>
  <dcterms:modified xsi:type="dcterms:W3CDTF">2018-01-03T07:11:00Z</dcterms:modified>
</cp:coreProperties>
</file>