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Normal(Web)"/>
        <w:spacing w:before="0" w:beforeAutospacing="0" w:after="0" w:afterAutospacing="0" w:line="495" w:lineRule="atLeast"/>
        <w:ind w:firstLine="480"/>
        <w:jc w:val="center"/>
        <w:rPr>
          <w:rFonts w:ascii="Verdana" w:hAnsi="Verdana"/>
          <w:color w:val="000000"/>
        </w:rPr>
      </w:pPr>
      <w:r>
        <w:rPr>
          <w:rStyle w:val="Strong"/>
          <w:rFonts w:hint="eastAsia"/>
          <w:color w:val="000000"/>
        </w:rPr>
        <w:t xml:space="preserve">第一部分</w:t>
      </w:r>
      <w:r>
        <w:rPr>
          <w:rStyle w:val="Strong"/>
          <w:rFonts w:hint="eastAsia"/>
          <w:color w:val="000000"/>
          <w:lang w:eastAsia="zh-CN"/>
        </w:rPr>
        <w:t xml:space="preserve">化隆县委政法委员会</w:t>
      </w:r>
      <w:r>
        <w:rPr>
          <w:rStyle w:val="Strong"/>
          <w:rFonts w:hint="eastAsia"/>
          <w:color w:val="000000"/>
        </w:rPr>
        <w:t xml:space="preserve">概况</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一、主要职能</w:t>
      </w:r>
    </w:p>
    <w:p>
      <w:pPr>
        <w:pStyle w:val="Normal(Web)"/>
        <w:spacing w:before="0" w:beforeAutospacing="0" w:after="0" w:afterAutospacing="0" w:line="495" w:lineRule="atLeast"/>
        <w:ind w:firstLine="480"/>
        <w:rPr>
          <w:rFonts w:hint="eastAsia"/>
          <w:color w:val="000000"/>
        </w:rPr>
      </w:pPr>
      <w:r>
        <w:rPr>
          <w:rFonts w:hint="eastAsia"/>
          <w:color w:val="000000"/>
          <w:lang w:val="en-US" w:eastAsia="zh-CN"/>
        </w:rPr>
        <w:t xml:space="preserve">1、</w:t>
      </w:r>
      <w:r>
        <w:rPr>
          <w:rFonts w:hint="eastAsia"/>
          <w:color w:val="000000"/>
        </w:rPr>
        <w:t xml:space="preserve">中共化隆县委政法委员会职责 </w:t>
      </w:r>
    </w:p>
    <w:p>
      <w:pPr>
        <w:pStyle w:val="Normal(Web)"/>
        <w:spacing w:before="0" w:beforeAutospacing="0" w:after="0" w:afterAutospacing="0" w:line="495" w:lineRule="atLeast"/>
        <w:ind w:firstLine="480"/>
        <w:rPr>
          <w:rFonts w:hint="eastAsia"/>
          <w:color w:val="000000"/>
        </w:rPr>
      </w:pPr>
      <w:r>
        <w:rPr>
          <w:rFonts w:hint="eastAsia"/>
          <w:color w:val="000000"/>
        </w:rPr>
        <w:t xml:space="preserve">根据省、市、县委的部署，协调政法各部门工作关系，形成合力，完成各项任务，维护全县社会稳定；研究制定政法工作目标，任务和措施，组织开展各类专项打击和治理，并负责检查督促，抓好落实；开展执法监督，支持和监督政法部门依法独立行使职权，指导和协调政法部门在工作中依法相互制约、协作配合；研究和指导全县政法队伍建设，协助组织、人事部门加强政法部门领导班子建设和选拔任用干警的考察等工作。</w:t>
      </w:r>
    </w:p>
    <w:p>
      <w:pPr>
        <w:pStyle w:val="Normal(Web)"/>
        <w:spacing w:before="0" w:beforeAutospacing="0" w:after="0" w:afterAutospacing="0" w:line="495" w:lineRule="atLeast"/>
        <w:ind w:firstLine="480"/>
        <w:rPr>
          <w:rFonts w:hint="eastAsia"/>
          <w:color w:val="000000"/>
        </w:rPr>
      </w:pPr>
      <w:r>
        <w:rPr>
          <w:rFonts w:hint="eastAsia"/>
          <w:color w:val="000000"/>
          <w:lang w:val="en-US" w:eastAsia="zh-CN"/>
        </w:rPr>
        <w:t xml:space="preserve">2、</w:t>
      </w:r>
      <w:r>
        <w:rPr>
          <w:rFonts w:hint="eastAsia"/>
          <w:color w:val="000000"/>
        </w:rPr>
        <w:t xml:space="preserve">依法治县工作领导小组办公室工作职责</w:t>
      </w:r>
    </w:p>
    <w:p>
      <w:pPr>
        <w:pStyle w:val="Normal(Web)"/>
        <w:spacing w:before="0" w:beforeAutospacing="0" w:after="0" w:afterAutospacing="0" w:line="495" w:lineRule="atLeast"/>
        <w:ind w:firstLine="480"/>
        <w:rPr>
          <w:rFonts w:hint="eastAsia"/>
          <w:color w:val="000000"/>
        </w:rPr>
      </w:pPr>
      <w:r>
        <w:rPr>
          <w:rFonts w:hint="eastAsia"/>
          <w:color w:val="000000"/>
        </w:rPr>
        <w:t xml:space="preserve">按照县依法治县工作领导小组的部署要求，研究提出全面推进依法治县年度工作要点，总结年度工作；负责领导小组关于法治建设决策部署的贯彻落实情况进行检查指导、调查研究、情况综合和信息反馈；承担领导小组会议的组织服务工作，推动会议精神的传达学习和贯彻落实；指导基层法治建设，推动或组织开展业务培训；组织开展依法治县考核评比工作。</w:t>
      </w:r>
    </w:p>
    <w:p>
      <w:pPr>
        <w:pStyle w:val="Normal(Web)"/>
        <w:spacing w:before="0" w:beforeAutospacing="0" w:after="0" w:afterAutospacing="0" w:line="495" w:lineRule="atLeast"/>
        <w:ind w:firstLine="480"/>
        <w:rPr>
          <w:rFonts w:hint="eastAsia"/>
          <w:color w:val="000000"/>
        </w:rPr>
      </w:pPr>
      <w:r>
        <w:rPr>
          <w:rFonts w:hint="eastAsia"/>
          <w:color w:val="000000"/>
          <w:lang w:val="en-US" w:eastAsia="zh-CN"/>
        </w:rPr>
        <w:t xml:space="preserve">3、</w:t>
      </w:r>
      <w:r>
        <w:rPr>
          <w:rFonts w:hint="eastAsia"/>
          <w:color w:val="000000"/>
        </w:rPr>
        <w:t xml:space="preserve">县社会管理综合治理委员会办公室职责</w:t>
      </w:r>
    </w:p>
    <w:p>
      <w:pPr>
        <w:pStyle w:val="Normal(Web)"/>
        <w:spacing w:before="0" w:beforeAutospacing="0" w:after="0" w:afterAutospacing="0" w:line="495" w:lineRule="atLeast"/>
        <w:ind w:firstLine="480"/>
        <w:rPr>
          <w:rFonts w:hint="eastAsia"/>
          <w:color w:val="000000"/>
        </w:rPr>
      </w:pPr>
      <w:r>
        <w:rPr>
          <w:rFonts w:hint="eastAsia"/>
          <w:color w:val="000000"/>
        </w:rPr>
        <w:t xml:space="preserve">研究制定本县的社会管理综合治理工作计划，并组织实施；指导、督促和协调本县辖区内综治责任单位的社会管理综合治理工作；对全县综治责任单位的社会管理综合治理目标管理责任制的执行情况进行检查、考核、评比，提出实施奖励或处罚的建议；加强对社会管理有关重大问题的研究，提出加强和创新社会管理的重大政策措施建议。</w:t>
      </w:r>
    </w:p>
    <w:p>
      <w:pPr>
        <w:pStyle w:val="Normal(Web)"/>
        <w:spacing w:before="0" w:beforeAutospacing="0" w:after="0" w:afterAutospacing="0" w:line="495" w:lineRule="atLeast"/>
        <w:ind w:firstLine="480"/>
        <w:rPr>
          <w:rFonts w:hint="eastAsia"/>
          <w:color w:val="000000"/>
        </w:rPr>
      </w:pPr>
      <w:r>
        <w:rPr>
          <w:rFonts w:hint="eastAsia"/>
          <w:color w:val="000000"/>
          <w:lang w:val="en-US" w:eastAsia="zh-CN"/>
        </w:rPr>
        <w:t xml:space="preserve">4、</w:t>
      </w:r>
      <w:r>
        <w:rPr>
          <w:rFonts w:hint="eastAsia"/>
          <w:color w:val="000000"/>
        </w:rPr>
        <w:t xml:space="preserve">县委防范和处理邪教问题领导小组办公室（“610”办）职责</w:t>
      </w:r>
    </w:p>
    <w:p>
      <w:pPr>
        <w:pStyle w:val="Normal(Web)"/>
        <w:spacing w:before="0" w:beforeAutospacing="0" w:after="0" w:afterAutospacing="0" w:line="495" w:lineRule="atLeast"/>
        <w:ind w:firstLine="480"/>
        <w:rPr>
          <w:rFonts w:hint="eastAsia"/>
          <w:color w:val="000000"/>
        </w:rPr>
      </w:pPr>
      <w:r>
        <w:rPr>
          <w:rFonts w:hint="eastAsia"/>
          <w:color w:val="000000"/>
        </w:rPr>
        <w:t xml:space="preserve">负责有关防范和处理邪教组织和对社会有危害的家庭教会，气功组织等问题的调查研究，分析形势，总结工作经验；负责向党委、政府报告防范和处理邪教问题工作中的重要情况，提出处理意见和措施；指导辖区单位防范和处理邪教问题的工作；协调有关反邪教的社会宣传工作；承担领导小组的日常工作，督促与协调会议决定事项的落实。</w:t>
      </w:r>
    </w:p>
    <w:p>
      <w:pPr>
        <w:pStyle w:val="Normal(Web)"/>
        <w:spacing w:before="0" w:beforeAutospacing="0" w:after="0" w:afterAutospacing="0" w:line="495" w:lineRule="atLeast"/>
        <w:ind w:firstLine="480"/>
        <w:rPr>
          <w:rFonts w:hint="eastAsia"/>
          <w:color w:val="000000"/>
        </w:rPr>
      </w:pPr>
      <w:r>
        <w:rPr>
          <w:rFonts w:hint="eastAsia"/>
          <w:color w:val="000000"/>
        </w:rPr>
        <w:t xml:space="preserve"> </w:t>
      </w:r>
      <w:r>
        <w:rPr>
          <w:rFonts w:hint="eastAsia"/>
          <w:color w:val="000000"/>
          <w:lang w:val="en-US" w:eastAsia="zh-CN"/>
        </w:rPr>
        <w:t xml:space="preserve">5、</w:t>
      </w:r>
      <w:r>
        <w:rPr>
          <w:rFonts w:hint="eastAsia"/>
          <w:color w:val="000000"/>
        </w:rPr>
        <w:t xml:space="preserve">县维护社会稳定工作领导小组办公室</w:t>
      </w:r>
    </w:p>
    <w:p>
      <w:pPr>
        <w:pStyle w:val="Normal(Web)"/>
        <w:spacing w:before="0" w:beforeAutospacing="0" w:after="0" w:afterAutospacing="0" w:line="495" w:lineRule="atLeast"/>
        <w:ind w:firstLine="480"/>
        <w:rPr>
          <w:rFonts w:hint="eastAsia"/>
          <w:color w:val="000000"/>
        </w:rPr>
      </w:pPr>
      <w:r>
        <w:rPr>
          <w:rFonts w:hint="eastAsia"/>
          <w:color w:val="000000"/>
        </w:rPr>
        <w:t xml:space="preserve">掌握全县政治稳定情况；对全县不稳定因素组织排查，及时发现和掌握影响稳定的重点问题，协调和督促相关部门采取措施处置化解，把问题解决在萌芽状态；在敏感期、党和国家重大政治活动和重大节日期间，制定重大事件处置预案、维稳工作方案；对全县可能发生的群体性事件，协调组织制定和完善处置工作预案，向县委、县政府提出工作措施建议。</w:t>
      </w:r>
    </w:p>
    <w:p>
      <w:pPr>
        <w:pStyle w:val="Normal(Web)"/>
        <w:numPr>
          <w:ilvl w:val="0"/>
          <w:numId w:val="7"/>
        </w:numPr>
        <w:spacing w:before="0" w:beforeAutospacing="0" w:after="0" w:afterAutospacing="0" w:line="495" w:lineRule="atLeast"/>
        <w:ind w:firstLine="480"/>
        <w:rPr>
          <w:rFonts w:hint="eastAsia"/>
          <w:color w:val="000000"/>
        </w:rPr>
      </w:pPr>
      <w:r>
        <w:rPr>
          <w:rFonts w:hint="eastAsia"/>
          <w:color w:val="000000"/>
        </w:rPr>
        <w:t xml:space="preserve">国家安全人民防线领导小组办公室职责</w:t>
      </w:r>
    </w:p>
    <w:p>
      <w:pPr>
        <w:pStyle w:val="Normal(Web)"/>
        <w:numPr>
          <w:ilvl w:val="0"/>
          <w:numId w:val="0"/>
        </w:numPr>
        <w:spacing w:before="0" w:beforeAutospacing="0" w:after="0" w:afterAutospacing="0" w:line="495" w:lineRule="atLeast"/>
        <w:rPr>
          <w:rFonts w:hint="eastAsia"/>
          <w:color w:val="000000"/>
        </w:rPr>
      </w:pPr>
      <w:r>
        <w:rPr>
          <w:rFonts w:hint="eastAsia"/>
          <w:color w:val="000000"/>
          <w:lang w:val="en-US" w:eastAsia="zh-CN"/>
        </w:rPr>
        <w:t xml:space="preserve">    </w:t>
      </w:r>
      <w:r>
        <w:rPr>
          <w:rFonts w:hint="eastAsia"/>
          <w:color w:val="000000"/>
        </w:rPr>
        <w:t xml:space="preserve">履行国家安全领导小组办公室的日常办事职能；组织开展本地区人民防线组织建设；组织开展国家安全基础社情调研工作；搜集获取涉及国家安全和社会政治稳定的情报信息；组织开展本地区国家安全宣传教育；为国家安全机关工作提供支持和配合。</w:t>
      </w:r>
    </w:p>
    <w:p>
      <w:pPr>
        <w:pStyle w:val="Normal(Web)"/>
        <w:numPr>
          <w:ilvl w:val="0"/>
          <w:numId w:val="7"/>
        </w:numPr>
        <w:spacing w:before="0" w:beforeAutospacing="0" w:after="0" w:afterAutospacing="0" w:line="495" w:lineRule="atLeast"/>
        <w:ind w:firstLine="480" w:firstLineChars="0"/>
        <w:rPr>
          <w:rFonts w:hint="eastAsia"/>
          <w:color w:val="000000"/>
        </w:rPr>
      </w:pPr>
      <w:r>
        <w:rPr>
          <w:rFonts w:hint="eastAsia"/>
          <w:color w:val="000000"/>
        </w:rPr>
        <w:t xml:space="preserve">依法治县办公室职责</w:t>
      </w:r>
    </w:p>
    <w:p>
      <w:pPr>
        <w:pStyle w:val="Normal(Web)"/>
        <w:numPr>
          <w:ilvl w:val="0"/>
          <w:numId w:val="0"/>
        </w:numPr>
        <w:spacing w:before="0" w:beforeAutospacing="0" w:after="0" w:afterAutospacing="0" w:line="495" w:lineRule="atLeast"/>
        <w:rPr>
          <w:rFonts w:ascii="Verdana" w:hAnsi="Verdana"/>
          <w:color w:val="000000"/>
        </w:rPr>
      </w:pPr>
      <w:r>
        <w:rPr>
          <w:rFonts w:hint="eastAsia"/>
          <w:color w:val="000000"/>
          <w:lang w:val="en-US" w:eastAsia="zh-CN"/>
        </w:rPr>
        <w:t xml:space="preserve">    </w:t>
      </w:r>
      <w:r>
        <w:rPr>
          <w:rFonts w:hint="eastAsia"/>
          <w:color w:val="000000"/>
        </w:rPr>
        <w:t xml:space="preserve">按照县依法治县工作领导小组的部署要求，研究提出全面推进依法治县年度工作要求，总结年度工作；负责领导小组关于法治建设决策部署的贯彻落实情况进行检查指导、调查研究、情况综合和信息反馈；承担领导小组会议的组织服务工作，推动会议精神的传达学习和贯彻落实；指导基层法治建设，推动或组织开展业务培训；组织开展依法治县考核评比工作。二、部门决算单位构成</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2015年度决算编制范围包括各级预算单位一个。单位年末人员编制人数</w:t>
      </w:r>
      <w:r>
        <w:rPr>
          <w:rFonts w:hint="eastAsia"/>
          <w:color w:val="000000"/>
          <w:lang w:val="en-US" w:eastAsia="zh-CN"/>
        </w:rPr>
        <w:t xml:space="preserve">10</w:t>
      </w:r>
      <w:r>
        <w:rPr>
          <w:rFonts w:hint="eastAsia"/>
          <w:color w:val="000000"/>
        </w:rPr>
        <w:t xml:space="preserve">人，其中在职人员</w:t>
      </w:r>
      <w:r>
        <w:rPr>
          <w:rFonts w:hint="eastAsia"/>
          <w:color w:val="000000"/>
          <w:lang w:val="en-US" w:eastAsia="zh-CN"/>
        </w:rPr>
        <w:t xml:space="preserve">10</w:t>
      </w:r>
      <w:r>
        <w:rPr>
          <w:rFonts w:hint="eastAsia"/>
          <w:color w:val="000000"/>
        </w:rPr>
        <w:t xml:space="preserve">人，退休人员</w:t>
      </w:r>
      <w:r>
        <w:rPr>
          <w:rFonts w:hint="eastAsia"/>
          <w:color w:val="000000"/>
          <w:lang w:val="en-US" w:eastAsia="zh-CN"/>
        </w:rPr>
        <w:t xml:space="preserve">7</w:t>
      </w:r>
      <w:r>
        <w:rPr>
          <w:rFonts w:hint="eastAsia"/>
          <w:color w:val="000000"/>
        </w:rPr>
        <w:t xml:space="preserve">人</w:t>
      </w:r>
      <w:r>
        <w:rPr>
          <w:rFonts w:hint="eastAsia"/>
          <w:color w:val="000000"/>
          <w:lang w:eastAsia="zh-CN"/>
        </w:rPr>
        <w:t xml:space="preserve">，遗属人员</w:t>
      </w:r>
      <w:r>
        <w:rPr>
          <w:rFonts w:hint="eastAsia"/>
          <w:color w:val="000000"/>
          <w:lang w:val="en-US" w:eastAsia="zh-CN"/>
        </w:rPr>
        <w:t xml:space="preserve">2人。</w:t>
      </w:r>
    </w:p>
    <w:p>
      <w:pPr>
        <w:pStyle w:val="Normal(Web)"/>
        <w:spacing w:before="0" w:beforeAutospacing="0" w:after="0" w:afterAutospacing="0" w:line="495" w:lineRule="atLeast"/>
        <w:ind w:firstLine="480"/>
        <w:rPr>
          <w:rFonts w:ascii="Verdana" w:hAnsi="Verdana"/>
          <w:color w:val="000000"/>
        </w:rPr>
      </w:pPr>
      <w:r>
        <w:rPr>
          <w:rStyle w:val="Strong"/>
          <w:rFonts w:hint="eastAsia"/>
          <w:color w:val="000000"/>
        </w:rPr>
        <w:t xml:space="preserve">第二部分 </w:t>
      </w:r>
      <w:r>
        <w:rPr>
          <w:rStyle w:val="Strong"/>
          <w:rFonts w:hint="eastAsia"/>
          <w:color w:val="000000"/>
          <w:lang w:eastAsia="zh-CN"/>
        </w:rPr>
        <w:t xml:space="preserve">县委政法委员会</w:t>
      </w:r>
      <w:r>
        <w:rPr>
          <w:rStyle w:val="Strong"/>
          <w:rFonts w:hint="eastAsia"/>
          <w:color w:val="000000"/>
        </w:rPr>
        <w:t xml:space="preserve">2015年度部门决算表</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一、收入支出决算总表</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二、收入决算表</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三、支出决算表</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四、财政拨款收入支出决算总表</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五、一般公共预算财政拨款支出决算表</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六、一般公共预算财政拨款基本支出决算表</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七、一般公共预算财政拨款“三公”经费支出决算表</w:t>
      </w:r>
    </w:p>
    <w:p>
      <w:pPr>
        <w:pStyle w:val="Normal(Web)"/>
        <w:spacing w:before="0" w:beforeAutospacing="0" w:after="0" w:afterAutospacing="0" w:line="495" w:lineRule="atLeast"/>
        <w:ind w:firstLine="480"/>
        <w:jc w:val="center"/>
        <w:rPr>
          <w:rFonts w:ascii="Verdana" w:hAnsi="Verdana"/>
          <w:color w:val="000000"/>
        </w:rPr>
      </w:pPr>
      <w:r>
        <w:rPr>
          <w:rStyle w:val="Strong"/>
          <w:rFonts w:hint="eastAsia"/>
          <w:color w:val="000000"/>
        </w:rPr>
        <w:t xml:space="preserve">第三部分 </w:t>
      </w:r>
      <w:r>
        <w:rPr>
          <w:rStyle w:val="Strong"/>
          <w:rFonts w:hint="eastAsia"/>
          <w:color w:val="000000"/>
          <w:lang w:eastAsia="zh-CN"/>
        </w:rPr>
        <w:t xml:space="preserve">县委政法委员会</w:t>
      </w:r>
      <w:r>
        <w:rPr>
          <w:rStyle w:val="Strong"/>
          <w:rFonts w:hint="eastAsia"/>
          <w:color w:val="000000"/>
        </w:rPr>
        <w:t xml:space="preserve">2015年度部门决算情况说明</w:t>
      </w:r>
    </w:p>
    <w:p>
      <w:pPr>
        <w:pStyle w:val="Normal(Web)"/>
        <w:spacing w:before="0" w:beforeAutospacing="0" w:after="0" w:afterAutospacing="0" w:line="495" w:lineRule="atLeast"/>
        <w:ind w:firstLine="480"/>
        <w:rPr>
          <w:rFonts w:ascii="Verdana" w:hAnsi="Verdana"/>
          <w:color w:val="000000"/>
        </w:rPr>
      </w:pPr>
      <w:r>
        <w:rPr>
          <w:rStyle w:val="Strong"/>
          <w:rFonts w:hint="eastAsia"/>
          <w:color w:val="000000"/>
        </w:rPr>
        <w:t xml:space="preserve">一、关于</w:t>
      </w:r>
      <w:r>
        <w:rPr>
          <w:rStyle w:val="Strong"/>
          <w:rFonts w:hint="eastAsia"/>
          <w:color w:val="000000"/>
          <w:lang w:eastAsia="zh-CN"/>
        </w:rPr>
        <w:t xml:space="preserve">县委政法委员会</w:t>
      </w:r>
      <w:r>
        <w:rPr>
          <w:rStyle w:val="Strong"/>
          <w:rFonts w:hint="eastAsia"/>
          <w:color w:val="000000"/>
        </w:rPr>
        <w:t xml:space="preserve">2015年度部门决算收支情况总体说明</w:t>
      </w:r>
    </w:p>
    <w:p>
      <w:pPr>
        <w:pStyle w:val="Normal(Web)"/>
        <w:spacing w:before="0" w:beforeAutospacing="0" w:after="0" w:afterAutospacing="0" w:line="495" w:lineRule="atLeast"/>
        <w:ind w:firstLine="480"/>
        <w:rPr>
          <w:rFonts w:ascii="Verdana" w:hAnsi="Verdana"/>
          <w:color w:val="000000"/>
        </w:rPr>
      </w:pPr>
      <w:r>
        <w:rPr>
          <w:rFonts w:hint="eastAsia"/>
          <w:color w:val="000000"/>
          <w:lang w:eastAsia="zh-CN"/>
        </w:rPr>
        <w:t xml:space="preserve">县委政法委</w:t>
      </w:r>
      <w:r>
        <w:rPr>
          <w:rFonts w:hint="eastAsia"/>
          <w:color w:val="000000"/>
        </w:rPr>
        <w:t xml:space="preserve">2015年度收支总决算551.1万元，比2014年收支均有所增长。主要原因是：初新考录入职</w:t>
      </w:r>
      <w:r>
        <w:rPr>
          <w:rFonts w:hint="eastAsia"/>
          <w:color w:val="000000"/>
          <w:lang w:val="en-US" w:eastAsia="zh-CN"/>
        </w:rPr>
        <w:t xml:space="preserve">4</w:t>
      </w:r>
      <w:r>
        <w:rPr>
          <w:rFonts w:hint="eastAsia"/>
          <w:color w:val="000000"/>
        </w:rPr>
        <w:t xml:space="preserve">人，相应的收入与支出随之增加工资调整所引起医疗保险、住房公积金都有所增长，人员经费增加。其中：</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（一）收入总计551.1万元。包括：</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1、财政拨款收入</w:t>
      </w:r>
      <w:r>
        <w:rPr>
          <w:rFonts w:hint="eastAsia"/>
          <w:sz w:val="24"/>
          <w:szCs w:val="24"/>
          <w:lang w:val="en-US" w:eastAsia="zh-CN"/>
        </w:rPr>
        <w:t xml:space="preserve">426.3</w:t>
      </w:r>
      <w:r>
        <w:rPr>
          <w:rFonts w:hint="eastAsia"/>
          <w:color w:val="000000"/>
        </w:rPr>
        <w:t xml:space="preserve">万元，为</w:t>
      </w:r>
      <w:r>
        <w:rPr>
          <w:rFonts w:hint="eastAsia"/>
          <w:color w:val="000000"/>
          <w:lang w:eastAsia="zh-CN"/>
        </w:rPr>
        <w:t xml:space="preserve">县</w:t>
      </w:r>
      <w:r>
        <w:rPr>
          <w:rFonts w:hint="eastAsia"/>
          <w:color w:val="000000"/>
        </w:rPr>
        <w:t xml:space="preserve">财政当年拨付资金。</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2、其他收入124.7万元，为预算单位在“财政拨款收入”、“事业收入”、“经营收入”之外取得的收入。例如：存款利息收入、</w:t>
      </w:r>
      <w:r>
        <w:rPr>
          <w:rFonts w:hint="eastAsia"/>
          <w:color w:val="000000"/>
          <w:lang w:eastAsia="zh-CN"/>
        </w:rPr>
        <w:t xml:space="preserve">省委政法委及相关单位</w:t>
      </w:r>
      <w:r>
        <w:rPr>
          <w:rFonts w:hint="eastAsia"/>
          <w:color w:val="000000"/>
        </w:rPr>
        <w:t xml:space="preserve">拨付</w:t>
      </w:r>
      <w:r>
        <w:rPr>
          <w:rFonts w:hint="eastAsia"/>
          <w:color w:val="000000"/>
          <w:lang w:eastAsia="zh-CN"/>
        </w:rPr>
        <w:t xml:space="preserve">的维稳</w:t>
      </w:r>
      <w:r>
        <w:rPr>
          <w:rFonts w:hint="eastAsia"/>
          <w:color w:val="000000"/>
        </w:rPr>
        <w:t xml:space="preserve">经费和其他收入。</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（二）支出总计518万元。包括：</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1、一般公共服务（类）支出</w:t>
      </w:r>
      <w:r>
        <w:rPr>
          <w:rFonts w:hint="eastAsia"/>
          <w:color w:val="000000"/>
          <w:lang w:val="en-US" w:eastAsia="zh-CN"/>
        </w:rPr>
        <w:t xml:space="preserve">452.7</w:t>
      </w:r>
      <w:r>
        <w:rPr>
          <w:rFonts w:hint="eastAsia"/>
          <w:color w:val="000000"/>
        </w:rPr>
        <w:t xml:space="preserve">万元，主要用于</w:t>
      </w:r>
      <w:r>
        <w:rPr>
          <w:rFonts w:hint="eastAsia"/>
          <w:color w:val="000000"/>
          <w:lang w:eastAsia="zh-CN"/>
        </w:rPr>
        <w:t xml:space="preserve">县委政法委</w:t>
      </w:r>
      <w:r>
        <w:rPr>
          <w:rFonts w:hint="eastAsia"/>
          <w:color w:val="000000"/>
        </w:rPr>
        <w:t xml:space="preserve">正常运转、开展公共管理活动所发生的基本支出和项目支出。</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2、社会保障和就业(类)支出</w:t>
      </w:r>
      <w:r>
        <w:rPr>
          <w:rFonts w:hint="eastAsia"/>
          <w:color w:val="000000"/>
          <w:lang w:val="en-US" w:eastAsia="zh-CN"/>
        </w:rPr>
        <w:t xml:space="preserve">65.3</w:t>
      </w:r>
      <w:r>
        <w:rPr>
          <w:rFonts w:hint="eastAsia"/>
          <w:color w:val="000000"/>
        </w:rPr>
        <w:t xml:space="preserve">万元，主要用于离退休人员经费和离退休干部管理机构为离退休人员提供管理和服务所发生的工作支出。</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4、</w:t>
      </w:r>
      <w:r>
        <w:rPr>
          <w:rFonts w:hint="eastAsia"/>
          <w:color w:val="000000"/>
          <w:lang w:eastAsia="zh-CN"/>
        </w:rPr>
        <w:t xml:space="preserve">其他支出</w:t>
      </w:r>
      <w:r>
        <w:rPr>
          <w:rFonts w:hint="eastAsia"/>
          <w:color w:val="000000"/>
          <w:lang w:val="en-US" w:eastAsia="zh-CN"/>
        </w:rPr>
        <w:t xml:space="preserve">16万元，主要用于下拨给各单位、各乡镇综治、维稳经费等</w:t>
      </w:r>
      <w:r>
        <w:rPr>
          <w:rFonts w:hint="eastAsia"/>
          <w:color w:val="000000"/>
        </w:rPr>
        <w:t xml:space="preserve">。</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6、结转下年</w:t>
      </w:r>
      <w:r>
        <w:rPr>
          <w:rFonts w:hint="eastAsia"/>
          <w:color w:val="000000"/>
          <w:lang w:val="en-US" w:eastAsia="zh-CN"/>
        </w:rPr>
        <w:t xml:space="preserve">38.2</w:t>
      </w:r>
      <w:r>
        <w:rPr>
          <w:rFonts w:hint="eastAsia"/>
          <w:color w:val="000000"/>
        </w:rPr>
        <w:t xml:space="preserve">万元，为本年度或以前年度预算安排、因客观条件发生变化无法按原计划实施，需要延迟到以后年度按有关规定继续使用的资金，既财政拨款结转和结余。</w:t>
      </w:r>
    </w:p>
    <w:p>
      <w:pPr>
        <w:pStyle w:val="Normal(Web)"/>
        <w:spacing w:before="0" w:beforeAutospacing="0" w:after="0" w:afterAutospacing="0" w:line="495" w:lineRule="atLeast"/>
        <w:ind w:firstLine="480"/>
        <w:rPr>
          <w:rFonts w:ascii="Verdana" w:hAnsi="Verdana"/>
          <w:color w:val="000000"/>
        </w:rPr>
      </w:pPr>
      <w:r>
        <w:rPr>
          <w:rStyle w:val="Strong"/>
          <w:rFonts w:hint="eastAsia"/>
          <w:color w:val="000000"/>
        </w:rPr>
        <w:t xml:space="preserve">二、关于</w:t>
      </w:r>
      <w:r>
        <w:rPr>
          <w:rStyle w:val="Strong"/>
          <w:rFonts w:hint="eastAsia"/>
          <w:color w:val="000000"/>
          <w:lang w:eastAsia="zh-CN"/>
        </w:rPr>
        <w:t xml:space="preserve">县委政法委员会</w:t>
      </w:r>
      <w:r>
        <w:rPr>
          <w:rStyle w:val="Strong"/>
          <w:rFonts w:hint="eastAsia"/>
          <w:color w:val="000000"/>
        </w:rPr>
        <w:t xml:space="preserve">2015年度一般公共预算财政拨款支出决算情况说明</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（一）财政拨款支出决算变化情况。</w:t>
      </w:r>
      <w:r>
        <w:rPr>
          <w:rFonts w:hint="eastAsia"/>
          <w:color w:val="000000"/>
          <w:lang w:eastAsia="zh-CN"/>
        </w:rPr>
        <w:t xml:space="preserve">化隆县委政法委员会</w:t>
      </w:r>
      <w:r>
        <w:rPr>
          <w:rFonts w:hint="eastAsia"/>
          <w:color w:val="000000"/>
        </w:rPr>
        <w:t xml:space="preserve">2015年度财政拨款支出</w:t>
      </w:r>
      <w:r>
        <w:rPr>
          <w:rFonts w:hint="eastAsia"/>
          <w:color w:val="000000"/>
          <w:lang w:val="en-US" w:eastAsia="zh-CN"/>
        </w:rPr>
        <w:t xml:space="preserve">390.2</w:t>
      </w:r>
      <w:r>
        <w:rPr>
          <w:rFonts w:hint="eastAsia"/>
          <w:color w:val="000000"/>
        </w:rPr>
        <w:t xml:space="preserve">万元，占本年支出总计的</w:t>
      </w:r>
      <w:r>
        <w:rPr>
          <w:rFonts w:hint="eastAsia"/>
          <w:color w:val="000000"/>
          <w:lang w:val="en-US" w:eastAsia="zh-CN"/>
        </w:rPr>
        <w:t xml:space="preserve">76.3</w:t>
      </w:r>
      <w:r>
        <w:rPr>
          <w:rFonts w:hint="eastAsia"/>
          <w:color w:val="000000"/>
        </w:rPr>
        <w:t xml:space="preserve">%。2015年决算数比2014年增加，主要原因：工资调整所引起医疗保险、住房公积金都有所增长，人员经费增加。</w:t>
      </w:r>
    </w:p>
    <w:p>
      <w:pPr>
        <w:pStyle w:val="Normal(Web)"/>
        <w:spacing w:before="0" w:beforeAutospacing="0" w:after="0" w:afterAutospacing="0" w:line="495" w:lineRule="atLeast"/>
        <w:ind w:firstLine="480"/>
        <w:rPr>
          <w:rFonts w:hint="eastAsia"/>
          <w:color w:val="000000"/>
        </w:rPr>
      </w:pPr>
      <w:r>
        <w:rPr>
          <w:rFonts w:hint="eastAsia"/>
          <w:color w:val="000000"/>
        </w:rPr>
        <w:t xml:space="preserve">（二）财政拨款支出决算构成情况。2015年</w:t>
      </w:r>
      <w:r>
        <w:rPr>
          <w:rFonts w:hint="eastAsia"/>
          <w:color w:val="000000"/>
          <w:lang w:eastAsia="zh-CN"/>
        </w:rPr>
        <w:t xml:space="preserve">县委政法委</w:t>
      </w:r>
      <w:r>
        <w:rPr>
          <w:rFonts w:hint="eastAsia"/>
          <w:color w:val="000000"/>
        </w:rPr>
        <w:t xml:space="preserve">财政拨款用于以下方面：</w:t>
      </w:r>
      <w:r>
        <w:rPr>
          <w:rFonts w:hint="eastAsia"/>
          <w:color w:val="000000"/>
          <w:lang w:eastAsia="zh-CN"/>
        </w:rPr>
        <w:t xml:space="preserve">一般公共服务类支出</w:t>
      </w:r>
      <w:r>
        <w:rPr>
          <w:rFonts w:hint="eastAsia"/>
          <w:color w:val="000000"/>
          <w:lang w:val="en-US" w:eastAsia="zh-CN"/>
        </w:rPr>
        <w:t xml:space="preserve">336万元</w:t>
      </w:r>
      <w:r>
        <w:rPr>
          <w:rFonts w:hint="eastAsia"/>
          <w:color w:val="000000"/>
        </w:rPr>
        <w:t xml:space="preserve">，占</w:t>
      </w:r>
      <w:r>
        <w:rPr>
          <w:rFonts w:hint="eastAsia"/>
          <w:color w:val="000000"/>
          <w:lang w:val="en-US" w:eastAsia="zh-CN"/>
        </w:rPr>
        <w:t xml:space="preserve">80</w:t>
      </w:r>
      <w:r>
        <w:rPr>
          <w:rFonts w:hint="eastAsia"/>
          <w:color w:val="000000"/>
        </w:rPr>
        <w:t xml:space="preserve">%；</w:t>
      </w:r>
      <w:r>
        <w:rPr>
          <w:rFonts w:hint="eastAsia"/>
          <w:color w:val="000000"/>
          <w:lang w:eastAsia="zh-CN"/>
        </w:rPr>
        <w:t xml:space="preserve">社会保障和就业类支出</w:t>
      </w:r>
      <w:r>
        <w:rPr>
          <w:rFonts w:hint="eastAsia"/>
          <w:color w:val="000000"/>
          <w:lang w:val="en-US" w:eastAsia="zh-CN"/>
        </w:rPr>
        <w:t xml:space="preserve">65.3万元</w:t>
      </w:r>
      <w:r>
        <w:rPr>
          <w:rFonts w:hint="eastAsia"/>
          <w:color w:val="000000"/>
        </w:rPr>
        <w:t xml:space="preserve">，占</w:t>
      </w:r>
      <w:r>
        <w:rPr>
          <w:rFonts w:hint="eastAsia"/>
          <w:color w:val="000000"/>
          <w:lang w:val="en-US" w:eastAsia="zh-CN"/>
        </w:rPr>
        <w:t xml:space="preserve">16</w:t>
      </w:r>
      <w:r>
        <w:rPr>
          <w:rFonts w:hint="eastAsia"/>
          <w:color w:val="000000"/>
        </w:rPr>
        <w:t xml:space="preserve">%；</w:t>
      </w:r>
      <w:r>
        <w:rPr>
          <w:rFonts w:hint="eastAsia"/>
          <w:color w:val="000000"/>
          <w:lang w:eastAsia="zh-CN"/>
        </w:rPr>
        <w:t xml:space="preserve">其他支出</w:t>
      </w:r>
      <w:r>
        <w:rPr>
          <w:rFonts w:hint="eastAsia"/>
          <w:color w:val="000000"/>
          <w:lang w:val="en-US" w:eastAsia="zh-CN"/>
        </w:rPr>
        <w:t xml:space="preserve">16万元，占4%。</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（三）一般公共预算财政拨款基本支出决算情况说明</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2015年度财政拨款基本支出</w:t>
      </w:r>
      <w:r>
        <w:rPr>
          <w:rFonts w:hint="eastAsia"/>
          <w:color w:val="000000"/>
          <w:lang w:val="en-US" w:eastAsia="zh-CN"/>
        </w:rPr>
        <w:t xml:space="preserve">390.2</w:t>
      </w:r>
      <w:r>
        <w:rPr>
          <w:rFonts w:hint="eastAsia"/>
          <w:color w:val="000000"/>
        </w:rPr>
        <w:t xml:space="preserve">万元。其中：</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1、工资福利支出</w:t>
      </w:r>
      <w:r>
        <w:rPr>
          <w:rFonts w:hint="eastAsia"/>
          <w:color w:val="000000"/>
          <w:lang w:val="en-US" w:eastAsia="zh-CN"/>
        </w:rPr>
        <w:t xml:space="preserve">182.8</w:t>
      </w:r>
      <w:r>
        <w:rPr>
          <w:rFonts w:hint="eastAsia"/>
          <w:color w:val="000000"/>
        </w:rPr>
        <w:t xml:space="preserve">万元。其中：基本工资</w:t>
      </w:r>
      <w:r>
        <w:rPr>
          <w:rFonts w:hint="eastAsia"/>
          <w:color w:val="000000"/>
          <w:lang w:val="en-US" w:eastAsia="zh-CN"/>
        </w:rPr>
        <w:t xml:space="preserve">65.9</w:t>
      </w:r>
      <w:r>
        <w:rPr>
          <w:rFonts w:hint="eastAsia"/>
          <w:color w:val="000000"/>
        </w:rPr>
        <w:t xml:space="preserve">万元、津贴补贴</w:t>
      </w:r>
      <w:r>
        <w:rPr>
          <w:rFonts w:hint="eastAsia"/>
          <w:color w:val="000000"/>
          <w:lang w:val="en-US" w:eastAsia="zh-CN"/>
        </w:rPr>
        <w:t xml:space="preserve">98.9</w:t>
      </w:r>
      <w:r>
        <w:rPr>
          <w:rFonts w:hint="eastAsia"/>
          <w:color w:val="000000"/>
        </w:rPr>
        <w:t xml:space="preserve">万元、奖金</w:t>
      </w:r>
      <w:r>
        <w:rPr>
          <w:rFonts w:hint="eastAsia"/>
          <w:color w:val="000000"/>
          <w:lang w:val="en-US" w:eastAsia="zh-CN"/>
        </w:rPr>
        <w:t xml:space="preserve">9.7</w:t>
      </w:r>
      <w:r>
        <w:rPr>
          <w:rFonts w:hint="eastAsia"/>
          <w:color w:val="000000"/>
        </w:rPr>
        <w:t xml:space="preserve">万元、其他工资福利支出</w:t>
      </w:r>
      <w:r>
        <w:rPr>
          <w:rFonts w:hint="eastAsia"/>
          <w:color w:val="000000"/>
          <w:lang w:val="en-US" w:eastAsia="zh-CN"/>
        </w:rPr>
        <w:t xml:space="preserve">8.3</w:t>
      </w:r>
      <w:r>
        <w:rPr>
          <w:rFonts w:hint="eastAsia"/>
          <w:color w:val="000000"/>
        </w:rPr>
        <w:t xml:space="preserve">万元。</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2、对个人和家庭的补助</w:t>
      </w:r>
      <w:r>
        <w:rPr>
          <w:rFonts w:hint="eastAsia"/>
          <w:color w:val="000000"/>
          <w:lang w:val="en-US" w:eastAsia="zh-CN"/>
        </w:rPr>
        <w:t xml:space="preserve">65.3</w:t>
      </w:r>
      <w:r>
        <w:rPr>
          <w:rFonts w:hint="eastAsia"/>
          <w:color w:val="000000"/>
        </w:rPr>
        <w:t xml:space="preserve">万元。其中：退休费</w:t>
      </w:r>
      <w:r>
        <w:rPr>
          <w:rFonts w:hint="eastAsia"/>
          <w:color w:val="000000"/>
          <w:lang w:val="en-US" w:eastAsia="zh-CN"/>
        </w:rPr>
        <w:t xml:space="preserve">64</w:t>
      </w:r>
      <w:r>
        <w:rPr>
          <w:rFonts w:hint="eastAsia"/>
          <w:color w:val="000000"/>
        </w:rPr>
        <w:t xml:space="preserve">万元、生活补助</w:t>
      </w:r>
      <w:r>
        <w:rPr>
          <w:rFonts w:hint="eastAsia"/>
          <w:color w:val="000000"/>
          <w:lang w:val="en-US" w:eastAsia="zh-CN"/>
        </w:rPr>
        <w:t xml:space="preserve">1.3</w:t>
      </w:r>
      <w:r>
        <w:rPr>
          <w:rFonts w:hint="eastAsia"/>
          <w:color w:val="000000"/>
        </w:rPr>
        <w:t xml:space="preserve">万元。</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3、商品和服务支出</w:t>
      </w:r>
      <w:r>
        <w:rPr>
          <w:rFonts w:hint="eastAsia"/>
          <w:color w:val="000000"/>
          <w:lang w:val="en-US" w:eastAsia="zh-CN"/>
        </w:rPr>
        <w:t xml:space="preserve">130.3</w:t>
      </w:r>
      <w:r>
        <w:rPr>
          <w:rFonts w:hint="eastAsia"/>
          <w:color w:val="000000"/>
        </w:rPr>
        <w:t xml:space="preserve">万元。其中：办公费</w:t>
      </w:r>
      <w:r>
        <w:rPr>
          <w:rFonts w:hint="eastAsia"/>
          <w:color w:val="000000"/>
          <w:lang w:val="en-US" w:eastAsia="zh-CN"/>
        </w:rPr>
        <w:t xml:space="preserve">67.5</w:t>
      </w:r>
      <w:r>
        <w:rPr>
          <w:rFonts w:hint="eastAsia"/>
          <w:color w:val="000000"/>
        </w:rPr>
        <w:t xml:space="preserve">万元、邮电费</w:t>
      </w:r>
      <w:r>
        <w:rPr>
          <w:rFonts w:hint="eastAsia"/>
          <w:color w:val="000000"/>
          <w:lang w:val="en-US" w:eastAsia="zh-CN"/>
        </w:rPr>
        <w:t xml:space="preserve">3.7</w:t>
      </w:r>
      <w:r>
        <w:rPr>
          <w:rFonts w:hint="eastAsia"/>
          <w:color w:val="000000"/>
        </w:rPr>
        <w:t xml:space="preserve">万元、差旅费</w:t>
      </w:r>
      <w:r>
        <w:rPr>
          <w:rFonts w:hint="eastAsia"/>
          <w:color w:val="000000"/>
          <w:lang w:val="en-US" w:eastAsia="zh-CN"/>
        </w:rPr>
        <w:t xml:space="preserve">11.3</w:t>
      </w:r>
      <w:r>
        <w:rPr>
          <w:rFonts w:hint="eastAsia"/>
          <w:color w:val="000000"/>
        </w:rPr>
        <w:t xml:space="preserve">万元、会议费</w:t>
      </w:r>
      <w:r>
        <w:rPr>
          <w:rFonts w:hint="eastAsia"/>
          <w:color w:val="000000"/>
          <w:lang w:val="en-US" w:eastAsia="zh-CN"/>
        </w:rPr>
        <w:t xml:space="preserve">18</w:t>
      </w:r>
      <w:r>
        <w:rPr>
          <w:rFonts w:hint="eastAsia"/>
          <w:color w:val="000000"/>
        </w:rPr>
        <w:t xml:space="preserve">万元、公务接待费</w:t>
      </w:r>
      <w:r>
        <w:rPr>
          <w:rFonts w:hint="eastAsia"/>
          <w:color w:val="000000"/>
          <w:lang w:val="en-US" w:eastAsia="zh-CN"/>
        </w:rPr>
        <w:t xml:space="preserve">5</w:t>
      </w:r>
      <w:r>
        <w:rPr>
          <w:rFonts w:hint="eastAsia"/>
          <w:color w:val="000000"/>
        </w:rPr>
        <w:t xml:space="preserve">万元、劳务费</w:t>
      </w:r>
      <w:r>
        <w:rPr>
          <w:rFonts w:hint="eastAsia"/>
          <w:color w:val="000000"/>
          <w:lang w:val="en-US" w:eastAsia="zh-CN"/>
        </w:rPr>
        <w:t xml:space="preserve">4.4</w:t>
      </w:r>
      <w:r>
        <w:rPr>
          <w:rFonts w:hint="eastAsia"/>
          <w:color w:val="000000"/>
        </w:rPr>
        <w:t xml:space="preserve">万元、公务用车运行维护费</w:t>
      </w:r>
      <w:r>
        <w:rPr>
          <w:rFonts w:hint="eastAsia"/>
          <w:color w:val="000000"/>
          <w:lang w:val="en-US" w:eastAsia="zh-CN"/>
        </w:rPr>
        <w:t xml:space="preserve">4.8</w:t>
      </w:r>
      <w:r>
        <w:rPr>
          <w:rFonts w:hint="eastAsia"/>
          <w:color w:val="000000"/>
        </w:rPr>
        <w:t xml:space="preserve">万元、其他商品和服务支出</w:t>
      </w:r>
      <w:r>
        <w:rPr>
          <w:rFonts w:hint="eastAsia"/>
          <w:color w:val="000000"/>
          <w:lang w:val="en-US" w:eastAsia="zh-CN"/>
        </w:rPr>
        <w:t xml:space="preserve">16.1</w:t>
      </w:r>
      <w:r>
        <w:rPr>
          <w:rFonts w:hint="eastAsia"/>
          <w:color w:val="000000"/>
        </w:rPr>
        <w:t xml:space="preserve">万元。</w:t>
      </w:r>
    </w:p>
    <w:p>
      <w:pPr>
        <w:pStyle w:val="Normal(Web)"/>
        <w:spacing w:before="0" w:beforeAutospacing="0" w:after="0" w:afterAutospacing="0" w:line="495" w:lineRule="atLeast"/>
        <w:ind w:firstLine="480"/>
        <w:rPr>
          <w:rFonts w:ascii="Verdana" w:hAnsi="Verdana"/>
          <w:color w:val="000000"/>
        </w:rPr>
      </w:pPr>
      <w:r>
        <w:rPr>
          <w:rStyle w:val="Strong"/>
          <w:rFonts w:hint="eastAsia"/>
          <w:color w:val="000000"/>
        </w:rPr>
        <w:t xml:space="preserve">三、一般公共预算财政拨款“三公”经费支出情况说明</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（一）“三公”经费财政拨款支出预算执行情况说明</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2015年度“三公”经费财政拨款支出预算为</w:t>
      </w:r>
      <w:r>
        <w:rPr>
          <w:rFonts w:hint="eastAsia"/>
          <w:color w:val="000000"/>
          <w:lang w:val="en-US" w:eastAsia="zh-CN"/>
        </w:rPr>
        <w:t xml:space="preserve">9.8</w:t>
      </w:r>
      <w:r>
        <w:rPr>
          <w:rFonts w:hint="eastAsia"/>
          <w:color w:val="000000"/>
        </w:rPr>
        <w:t xml:space="preserve">万元，其中：公务用车运行费预算</w:t>
      </w:r>
      <w:r>
        <w:rPr>
          <w:rFonts w:hint="eastAsia"/>
          <w:color w:val="000000"/>
          <w:lang w:val="en-US" w:eastAsia="zh-CN"/>
        </w:rPr>
        <w:t xml:space="preserve">4.8</w:t>
      </w:r>
      <w:r>
        <w:rPr>
          <w:rFonts w:hint="eastAsia"/>
          <w:color w:val="000000"/>
        </w:rPr>
        <w:t xml:space="preserve">万元，公务接待费预算</w:t>
      </w:r>
      <w:r>
        <w:rPr>
          <w:rFonts w:hint="eastAsia"/>
          <w:color w:val="000000"/>
          <w:lang w:val="en-US" w:eastAsia="zh-CN"/>
        </w:rPr>
        <w:t xml:space="preserve">5</w:t>
      </w:r>
      <w:r>
        <w:rPr>
          <w:rFonts w:hint="eastAsia"/>
          <w:color w:val="000000"/>
        </w:rPr>
        <w:t xml:space="preserve">万元。支出决算为</w:t>
      </w:r>
      <w:r>
        <w:rPr>
          <w:rFonts w:hint="eastAsia"/>
          <w:color w:val="000000"/>
          <w:lang w:val="en-US" w:eastAsia="zh-CN"/>
        </w:rPr>
        <w:t xml:space="preserve">9.8</w:t>
      </w:r>
      <w:r>
        <w:rPr>
          <w:rFonts w:hint="eastAsia"/>
          <w:color w:val="000000"/>
        </w:rPr>
        <w:t xml:space="preserve">万元，完成预算的</w:t>
      </w:r>
      <w:r>
        <w:rPr>
          <w:rFonts w:hint="eastAsia"/>
          <w:color w:val="000000"/>
          <w:lang w:val="en-US" w:eastAsia="zh-CN"/>
        </w:rPr>
        <w:t xml:space="preserve">100</w:t>
      </w:r>
      <w:r>
        <w:rPr>
          <w:rFonts w:hint="eastAsia"/>
          <w:color w:val="000000"/>
        </w:rPr>
        <w:t xml:space="preserve">%，其中：公务用车运行费支出决算为</w:t>
      </w:r>
      <w:r>
        <w:rPr>
          <w:rFonts w:hint="eastAsia"/>
          <w:color w:val="000000"/>
          <w:lang w:val="en-US" w:eastAsia="zh-CN"/>
        </w:rPr>
        <w:t xml:space="preserve">4.8</w:t>
      </w:r>
      <w:r>
        <w:rPr>
          <w:rFonts w:hint="eastAsia"/>
          <w:color w:val="000000"/>
        </w:rPr>
        <w:t xml:space="preserve">万元，完成预算的</w:t>
      </w:r>
      <w:r>
        <w:rPr>
          <w:rFonts w:hint="eastAsia"/>
          <w:color w:val="000000"/>
          <w:lang w:val="en-US" w:eastAsia="zh-CN"/>
        </w:rPr>
        <w:t xml:space="preserve">100</w:t>
      </w:r>
      <w:r>
        <w:rPr>
          <w:rFonts w:hint="eastAsia"/>
          <w:color w:val="000000"/>
        </w:rPr>
        <w:t xml:space="preserve">%；公务接待费支出决算为</w:t>
      </w:r>
      <w:r>
        <w:rPr>
          <w:rFonts w:hint="eastAsia"/>
          <w:color w:val="000000"/>
          <w:lang w:val="en-US" w:eastAsia="zh-CN"/>
        </w:rPr>
        <w:t xml:space="preserve">5</w:t>
      </w:r>
      <w:r>
        <w:rPr>
          <w:rFonts w:hint="eastAsia"/>
          <w:color w:val="000000"/>
        </w:rPr>
        <w:t xml:space="preserve">万元，完成预算</w:t>
      </w:r>
      <w:r>
        <w:rPr>
          <w:rFonts w:hint="eastAsia"/>
          <w:color w:val="000000"/>
          <w:lang w:val="en-US" w:eastAsia="zh-CN"/>
        </w:rPr>
        <w:t xml:space="preserve">100</w:t>
      </w:r>
      <w:r>
        <w:rPr>
          <w:rFonts w:hint="eastAsia"/>
          <w:color w:val="000000"/>
        </w:rPr>
        <w:t xml:space="preserve">%。</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（二）“三公”经费财政拨款支出决算情况说明</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公务用车运行费支出决算为</w:t>
      </w:r>
      <w:r>
        <w:rPr>
          <w:rFonts w:hint="eastAsia"/>
          <w:color w:val="000000"/>
          <w:lang w:val="en-US" w:eastAsia="zh-CN"/>
        </w:rPr>
        <w:t xml:space="preserve">4.8</w:t>
      </w:r>
      <w:r>
        <w:rPr>
          <w:rFonts w:hint="eastAsia"/>
          <w:color w:val="000000"/>
        </w:rPr>
        <w:t xml:space="preserve">万元，完成预算的</w:t>
      </w:r>
      <w:r>
        <w:rPr>
          <w:rFonts w:hint="eastAsia"/>
          <w:color w:val="000000"/>
          <w:lang w:val="en-US" w:eastAsia="zh-CN"/>
        </w:rPr>
        <w:t xml:space="preserve">100</w:t>
      </w:r>
      <w:r>
        <w:rPr>
          <w:rFonts w:hint="eastAsia"/>
          <w:color w:val="000000"/>
        </w:rPr>
        <w:t xml:space="preserve">%；公务接待费支出决算为</w:t>
      </w:r>
      <w:r>
        <w:rPr>
          <w:rFonts w:hint="eastAsia"/>
          <w:color w:val="000000"/>
          <w:lang w:val="en-US" w:eastAsia="zh-CN"/>
        </w:rPr>
        <w:t xml:space="preserve">5</w:t>
      </w:r>
      <w:r>
        <w:rPr>
          <w:rFonts w:hint="eastAsia"/>
          <w:color w:val="000000"/>
        </w:rPr>
        <w:t xml:space="preserve">万元，完成预算</w:t>
      </w:r>
      <w:r>
        <w:rPr>
          <w:rFonts w:hint="eastAsia"/>
          <w:color w:val="000000"/>
          <w:lang w:val="en-US" w:eastAsia="zh-CN"/>
        </w:rPr>
        <w:t xml:space="preserve">100</w:t>
      </w:r>
      <w:r>
        <w:rPr>
          <w:rFonts w:hint="eastAsia"/>
          <w:color w:val="000000"/>
        </w:rPr>
        <w:t xml:space="preserve">%。具体情况如下：</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1、公务用车运行费支出</w:t>
      </w:r>
      <w:r>
        <w:rPr>
          <w:rFonts w:hint="eastAsia"/>
          <w:color w:val="000000"/>
          <w:lang w:val="en-US" w:eastAsia="zh-CN"/>
        </w:rPr>
        <w:t xml:space="preserve">4.8</w:t>
      </w:r>
      <w:r>
        <w:rPr>
          <w:rFonts w:hint="eastAsia"/>
          <w:color w:val="000000"/>
        </w:rPr>
        <w:t xml:space="preserve">万元。其中：公务用车运行费支出</w:t>
      </w:r>
      <w:r>
        <w:rPr>
          <w:rFonts w:hint="eastAsia"/>
          <w:color w:val="000000"/>
          <w:lang w:val="en-US" w:eastAsia="zh-CN"/>
        </w:rPr>
        <w:t xml:space="preserve">4.8</w:t>
      </w:r>
      <w:r>
        <w:rPr>
          <w:rFonts w:hint="eastAsia"/>
          <w:color w:val="000000"/>
        </w:rPr>
        <w:t xml:space="preserve">万元，公务用车保有量为</w:t>
      </w:r>
      <w:r>
        <w:rPr>
          <w:rFonts w:hint="eastAsia"/>
          <w:color w:val="000000"/>
          <w:lang w:val="en-US" w:eastAsia="zh-CN"/>
        </w:rPr>
        <w:t xml:space="preserve">3</w:t>
      </w:r>
      <w:r>
        <w:rPr>
          <w:rFonts w:hint="eastAsia"/>
          <w:color w:val="000000"/>
        </w:rPr>
        <w:t xml:space="preserve">辆。</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2、公务接待费支出</w:t>
      </w:r>
      <w:r>
        <w:rPr>
          <w:rFonts w:hint="eastAsia"/>
          <w:color w:val="000000"/>
          <w:lang w:val="en-US" w:eastAsia="zh-CN"/>
        </w:rPr>
        <w:t xml:space="preserve">5</w:t>
      </w:r>
      <w:r>
        <w:rPr>
          <w:rFonts w:hint="eastAsia"/>
          <w:color w:val="000000"/>
        </w:rPr>
        <w:t xml:space="preserve">万元。</w:t>
      </w:r>
      <w:r>
        <w:rPr>
          <w:rFonts w:hint="eastAsia"/>
          <w:color w:val="000000"/>
          <w:lang w:eastAsia="zh-CN"/>
        </w:rPr>
        <w:t xml:space="preserve">接待</w:t>
      </w:r>
      <w:r>
        <w:rPr>
          <w:rFonts w:hint="eastAsia"/>
          <w:color w:val="000000"/>
          <w:lang w:val="en-US" w:eastAsia="zh-CN"/>
        </w:rPr>
        <w:t xml:space="preserve">30批次，共200人次。</w:t>
      </w:r>
      <w:bookmarkStart w:id="0" w:name="_GoBack"/>
      <w:bookmarkEnd w:id="0"/>
    </w:p>
    <w:p>
      <w:pPr>
        <w:pStyle w:val="Normal(Web)"/>
        <w:spacing w:before="0" w:beforeAutospacing="0" w:after="0" w:afterAutospacing="0" w:line="495" w:lineRule="atLeast"/>
        <w:ind w:firstLine="480"/>
        <w:rPr>
          <w:rFonts w:ascii="宋体" w:eastAsia="宋体" w:hAnsi="宋体" w:cs="宋体" w:hint="eastAsia"/>
          <w:color w:val="000000"/>
        </w:rPr>
      </w:pPr>
      <w:r>
        <w:rPr>
          <w:rFonts w:ascii="宋体" w:eastAsia="宋体" w:hAnsi="宋体" w:cs="宋体" w:hint="eastAsia"/>
          <w:color w:val="000000"/>
        </w:rPr>
        <w:t xml:space="preserve">（三）“三公”经费与上年执行情况差异说明</w:t>
      </w:r>
    </w:p>
    <w:p>
      <w:pPr>
        <w:pStyle w:val="Normal(Web)"/>
        <w:spacing w:before="0" w:beforeAutospacing="0" w:after="0" w:afterAutospacing="0" w:line="495" w:lineRule="atLeast"/>
        <w:ind w:firstLine="480"/>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 xml:space="preserve">2015年度“三公”经费支出决算数与2014年决算数相比公务用车运行费减少 </w:t>
      </w:r>
      <w:r>
        <w:rPr>
          <w:rFonts w:cs="宋体" w:hint="eastAsia"/>
          <w:color w:val="000000"/>
          <w:kern w:val="0"/>
          <w:sz w:val="24"/>
          <w:szCs w:val="24"/>
          <w:lang w:val="en-US" w:eastAsia="zh-CN"/>
        </w:rPr>
        <w:t xml:space="preserve">7200</w:t>
      </w:r>
      <w:r>
        <w:rPr>
          <w:rFonts w:ascii="宋体" w:eastAsia="宋体" w:hAnsi="宋体" w:cs="宋体" w:hint="eastAsia"/>
          <w:color w:val="000000"/>
          <w:kern w:val="0"/>
          <w:sz w:val="24"/>
          <w:szCs w:val="24"/>
        </w:rPr>
        <w:t xml:space="preserve">元，公务接待费</w:t>
      </w:r>
      <w:r>
        <w:rPr>
          <w:rFonts w:cs="宋体" w:hint="eastAsia"/>
          <w:color w:val="000000"/>
          <w:kern w:val="0"/>
          <w:sz w:val="24"/>
          <w:szCs w:val="24"/>
          <w:lang w:eastAsia="zh-CN"/>
        </w:rPr>
        <w:t xml:space="preserve">减少</w:t>
      </w:r>
      <w:r>
        <w:rPr>
          <w:rFonts w:cs="宋体" w:hint="eastAsia"/>
          <w:color w:val="000000"/>
          <w:kern w:val="0"/>
          <w:sz w:val="24"/>
          <w:szCs w:val="24"/>
          <w:lang w:val="en-US" w:eastAsia="zh-CN"/>
        </w:rPr>
        <w:t xml:space="preserve">8000</w:t>
      </w:r>
      <w:r>
        <w:rPr>
          <w:rFonts w:ascii="宋体" w:eastAsia="宋体" w:hAnsi="宋体" w:cs="宋体" w:hint="eastAsia"/>
          <w:color w:val="000000"/>
          <w:kern w:val="0"/>
          <w:sz w:val="24"/>
          <w:szCs w:val="24"/>
        </w:rPr>
        <w:t xml:space="preserve">元，主要原因是：公务用车开支节源，控制费用</w:t>
      </w:r>
      <w:r>
        <w:rPr>
          <w:rFonts w:cs="宋体" w:hint="eastAsia"/>
          <w:color w:val="000000"/>
          <w:kern w:val="0"/>
          <w:sz w:val="24"/>
          <w:szCs w:val="24"/>
          <w:lang w:eastAsia="zh-CN"/>
        </w:rPr>
        <w:t xml:space="preserve">，严格控制公务接待开支。</w:t>
      </w:r>
    </w:p>
    <w:p>
      <w:pPr>
        <w:pStyle w:val="Normal(Web)"/>
        <w:spacing w:before="0" w:beforeAutospacing="0" w:after="0" w:afterAutospacing="0" w:line="495" w:lineRule="atLeast"/>
        <w:ind w:firstLine="480"/>
        <w:jc w:val="center"/>
        <w:rPr>
          <w:rFonts w:ascii="Verdana" w:hAnsi="Verdana"/>
          <w:color w:val="000000"/>
        </w:rPr>
      </w:pPr>
      <w:r>
        <w:rPr>
          <w:rStyle w:val="Strong"/>
          <w:rFonts w:hint="eastAsia"/>
          <w:color w:val="000000"/>
        </w:rPr>
        <w:t xml:space="preserve">第四部分 名词解释</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(一)财政拨款收入:指财政当年拨付的资金。</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(二)上级补助收入：指直属上级部门拨付资金。</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(三)事业收入:指事业单位开展业务活动取得的收入。</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(四)事业单位经营收入:指事业单位在业务活动之外开展非独立核算经营活动取得的收入。</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(五)下级单位上缴收入：指所属的事业单位按有关规定上缴的收入。</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(六)其他收入:指预算单位在“财政拨款收入”、“事业收入”、“经营收入”之外取得的收入。</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七)用事业基金弥补收支差额: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(八)上年结转和结余:指以前年度支出预算因客观条件变化未执行完毕、结转到本年度按有关规定继续使用的资金，既包括财政拨款结转和结余，也包括事业收入、经管收入、其他收入的结转和结余。</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(九)一般公共服务(类)档案事务(款):指机关档案管理方面的支出。</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(十)教育(类)教育(款)</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1、教育:指所属学校用于教学等方面的支出。</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2、干部教育:指所属干部教育单位用于教学方面的支出。</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(十一)科学技术(类)应用研究(款)：指所属科研单位用于社会公益研究、高技术研究筹方面的支出。</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(十二)科学技术(类)科技条件与服务(款)：指所属科研单位用于改善科技条件方面的支出。</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(十三)科学技术(类) 其他科学技术支出(款)：指用于</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科技业务管理、培训方面的支出。</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(十四) 文化体育与传媒(类) 新闻出版(款)：指用于所属新闻等单位的支出。</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(十五) 文化体育与传媒(类)其他文化体育与传媒支出</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(款)：指所属出版单位用于文化产业发展的支出。</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(十六)社会保障和就业(类)行政事业单位离退休(款)</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（1）行政单位离退休:指所属行政单位实行归口管理的离退休经费方面的支出。</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（2）事业单位离退休:指用于所属事业单位离退休方面的支出。</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（3）离退休人员管理机构:指用于离退休人员管理机构方面的支出。</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（4）未归口管理的行政单位离退休:指所属行政单位未实行归口管理的离退休经费方面的支出。</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(十七)医疗卫生(类)公立医院(款)</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1、行业医院:指所属医疗卫生单位用于医疗卫生方面的支出。</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2、重大公共卫生专项:指所属医疗卫生单位用于重大疾病预防控制和突发公共卫生事件处置方面的支出。</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(十八)住房保障支出(类)住房改革支出(款)</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1、住房公积金:指按照国家统一规定，按规定比例为职工缴纳的住房公积金。</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2、购房补贴:指1998年住房分配货币化改革以后，按照国家房改政策规定，向无房职工、住房面积未达到规定标准的职工发放的住房补贴。</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(十九)结转下年:指以前年度预算安排、因客观条件发生变化无法按原计划实施，需延迟到以后年度按原规定用途继续使用的资金。</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(二十)基本支出:指为保障机构正常运转、完成日常工作任务而发生的人员支出和公用支出。</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(二十一)项目支出:指在基本支出之外为完成特定行政任务和事业发展目标所发生的支出。</w:t>
      </w:r>
    </w:p>
    <w:p>
      <w:pPr>
        <w:pStyle w:val="Normal(Web)"/>
        <w:spacing w:before="0" w:beforeAutospacing="0" w:after="0" w:afterAutospacing="0" w:line="495" w:lineRule="atLeast"/>
        <w:ind w:firstLine="480"/>
        <w:rPr>
          <w:rFonts w:ascii="Verdana" w:hAnsi="Verdana"/>
          <w:color w:val="000000"/>
        </w:rPr>
      </w:pPr>
      <w:r>
        <w:rPr>
          <w:rFonts w:hint="eastAsia"/>
          <w:color w:val="000000"/>
        </w:rPr>
        <w:t xml:space="preserve">（二十二）“三公”经费是指本部门（包括所属行政单位、参照公务员法管理的事业单位和其他事业单位）通过财政拨款资金安排的因公出国（境）费、公务用车购置及运行费和公务接待费。</w:t>
      </w:r>
    </w:p>
    <w:p>
      <w:pPr>
        <w:rPr>
          <w:szCs w:val="32"/>
        </w:rPr>
      </w:pPr>
    </w:p>
    <w:sectPr>
      <w:pgSz w:w="11906" w:h="16838" w:orient="portrait"/>
      <w:pgMar w:top="1440" w:right="1800" w:bottom="1440" w:left="1800" w:header="851" w:footer="992" w:gutter="0"/>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Auto"/>
    <w:pitch w:val="default"/>
    <w:sig w:usb0="00007A87" w:usb1="80000000" w:usb2="00000008" w:usb3="00000000" w:csb0="400001FF" w:csb1="FFFF0000"/>
  </w:font>
  <w:font w:name="Symbol">
    <w:panose1 w:val="05050102010706020507"/>
    <w:charset w:val="02"/>
    <w:family w:val="Auto"/>
    <w:pitch w:val="default"/>
    <w:sig w:usb0="00000000" w:usb1="00000000" w:usb2="00000000" w:usb3="00000000" w:csb0="80000000" w:csb1="00000000"/>
  </w:font>
  <w:font w:name="Cambria">
    <w:altName w:val="Palatino Linotype"/>
    <w:panose1 w:val="02040503050406030204"/>
    <w:charset w:val="00"/>
    <w:family w:val="Auto"/>
    <w:pitch w:val="default"/>
    <w:sig w:usb0="00000000" w:usb1="00000000" w:usb2="00000000" w:usb3="00000000" w:csb0="0000019F" w:csb1="00000000"/>
  </w:font>
  <w:font w:name="Calibri">
    <w:altName w:val="微软雅黑"/>
    <w:panose1 w:val="020F0502020204030204"/>
    <w:charset w:val="00"/>
    <w:family w:val="Auto"/>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Verdana">
    <w:panose1 w:val="020B0604030504040204"/>
    <w:charset w:val="00"/>
    <w:family w:val="Auto"/>
    <w:pitch w:val="default"/>
    <w:sig w:usb0="00000287" w:usb1="00000000"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华文仿宋">
    <w:altName w:val="仿宋_GB2312"/>
    <w:panose1 w:val="02010600040101010101"/>
    <w:charset w:val="86"/>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
    <w:multiLevelType w:val="singleLevel"/>
    <w:lvl w:ilvl="0">
      <w:start w:val="6"/>
      <w:numFmt w:val="decimal"/>
      <w:suff w:val="nothing"/>
      <w:lvlText w:val="%1、"/>
      <w:lvlJc w:val="lef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EastAsia" w:hAnsiTheme="minorHAnsi" w:cs="Arial"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lsdException w:name="footer" w:semiHidden="0"/>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semiHidden="0"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semiHidden="0"/>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Variable"/>
    <w:lsdException w:name="Normal Table" w:semiHidden="0"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0"/>
      <w:lang w:val="en-US" w:eastAsia="zh-CN" w:bidi="ar-SA"/>
    </w:rPr>
  </w:style>
  <w:style w:type="character" w:default="1" w:styleId="DefaultParagraphFont">
    <w:name w:val="Default Paragraph Font"/>
    <w:uiPriority w:val="1"/>
    <w:unhideWhenUsed/>
    <w:rPr/>
  </w:style>
  <w:style w:type="table" w:default="1" w:styleId="TableNormal">
    <w:name w:val="Normal Table"/>
    <w:uiPriority w:val="99"/>
    <w:unhideWhenUsed/>
    <w:qFormat/>
    <w:rPr/>
    <w:tblPr>
      <w:tblCellMar>
        <w:top w:w="0" w:type="dxa"/>
        <w:left w:w="108" w:type="dxa"/>
        <w:bottom w:w="0" w:type="dxa"/>
        <w:right w:w="108" w:type="dxa"/>
      </w:tblCellMar>
    </w:tblPr>
  </w:style>
  <w:style w:type="paragraph" w:styleId="Footer">
    <w:name w:val="Footer"/>
    <w:basedOn w:val="Normal"/>
    <w:uiPriority w:val="99"/>
    <w:unhideWhenUsed/>
    <w:pPr>
      <w:tabs>
        <w:tab w:val="center" w:pos="4153"/>
        <w:tab w:val="right" w:pos="8306"/>
      </w:tabs>
      <w:snapToGrid w:val="0"/>
      <w:jc w:val="left"/>
    </w:pPr>
    <w:rPr>
      <w:rFonts w:ascii="Calibri" w:eastAsia="宋体" w:hAnsi="Calibri" w:asciiTheme="minorHAnsi" w:eastAsiaTheme="minorEastAsia" w:hAnsiTheme="minorHAnsi" w:cs="Arial" w:cstheme="minorBidi"/>
      <w:sz w:val="18"/>
      <w:szCs w:val="18"/>
    </w:rPr>
  </w:style>
  <w:style w:type="paragraph" w:styleId="Header">
    <w:name w:val="Header"/>
    <w:basedOn w:val="Normal"/>
    <w:uiPriority w:val="99"/>
    <w:unhideWhenUsed/>
    <w:pPr>
      <w:pBdr>
        <w:bottom w:val="single" w:sz="6" w:space="1" w:color="auto"/>
      </w:pBdr>
      <w:tabs>
        <w:tab w:val="center" w:pos="4153"/>
        <w:tab w:val="right" w:pos="8306"/>
      </w:tabs>
      <w:snapToGrid w:val="0"/>
      <w:jc w:val="center"/>
    </w:pPr>
    <w:rPr>
      <w:rFonts w:ascii="Calibri" w:eastAsia="宋体" w:hAnsi="Calibri" w:asciiTheme="minorHAnsi" w:eastAsiaTheme="minorEastAsia" w:hAnsiTheme="minorHAnsi" w:cs="Arial" w:cstheme="minorBidi"/>
      <w:sz w:val="18"/>
      <w:szCs w:val="18"/>
    </w:rPr>
  </w:style>
  <w:style w:type="paragraph" w:styleId="Normal(Web)">
    <w:name w:val="Normal (Web)"/>
    <w:basedOn w:val="Normal"/>
    <w:uiPriority w:val="99"/>
    <w:unhideWhenUsed/>
    <w:qFormat/>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22"/>
    <w:qFormat/>
    <w:rPr>
      <w:b/>
      <w:bCs/>
    </w:rPr>
  </w:style>
  <w:style w:type="character" w:customStyle="1" w:styleId="页眉Char">
    <w:name w:val="页眉 Char"/>
    <w:basedOn w:val="DefaultParagraphFont"/>
    <w:uiPriority w:val="99"/>
    <w:semiHidden/>
    <w:rPr>
      <w:sz w:val="18"/>
      <w:szCs w:val="18"/>
    </w:rPr>
  </w:style>
  <w:style w:type="character" w:customStyle="1" w:styleId="页脚Char">
    <w:name w:val="页脚 Char"/>
    <w:basedOn w:val="DefaultParagraphFont"/>
    <w:uiPriority w:val="99"/>
    <w:semiHidden/>
    <w:qFormat/>
    <w:rPr>
      <w:sz w:val="18"/>
      <w:szCs w:val="18"/>
    </w:rPr>
  </w:style>
  <w:style w:type="paragraph" w:customStyle="1" w:styleId="ListParagraph">
    <w:name w:val="List Paragraph"/>
    <w:basedOn w:val="Normal"/>
    <w:uiPriority w:val="34"/>
    <w:qFormat/>
    <w:pPr>
      <w:ind w:firstLine="420" w:firstLineChars="200"/>
    </w:pPr>
    <w:rPr>
      <w:rFonts w:ascii="Calibri" w:eastAsia="宋体" w:hAnsi="Calibri" w:asciiTheme="minorHAnsi" w:eastAsiaTheme="minorEastAsia" w:hAnsiTheme="minorHAnsi" w:cs="Arial" w:cstheme="minorBidi"/>
      <w:szCs w:val="22"/>
    </w:r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2052-10.1.0.7022</vt:lp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2052-10.1.0.7022</vt:lpstr>
  </proper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Pages>1</Pages>
  <Words>728</Words>
  <Characters>4156</Characters>
  <Application>WPS Office_10.1.0.7022_F1E327BC-269C-435d-A152-05C5408002CA</Application>
  <DocSecurity>0</DocSecurity>
  <Lines>34</Lines>
  <Paragraphs>9</Paragraphs>
  <Company>china</Company>
  <CharactersWithSpaces>4875</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忆♂臭丫头℡</cp:lastModifiedBy>
  <cp:revision>44</cp:revision>
  <cp:lastPrinted>2016-12-26T02:28:00Z</cp:lastPrinted>
  <dcterms:created xsi:type="dcterms:W3CDTF">2016-12-09T02:40:00Z</dcterms:created>
  <dcterms:modified xsi:type="dcterms:W3CDTF">2018-01-09T01:28:36Z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2052-10.1.0.7022</vt:lpstr>
  </property>
</Properties>
</file>