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00"/>
      </w:tblGrid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招商局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blPrEx>
          <w:tblW w:w="9000" w:type="dxa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  贯彻执行国家和省、市、县管局招商引资的政策规定；负责制定县招商引资工作发展规划和年度计划；负责有关招商引资的衔接落实、跟踪服务、协调联络等工作；承办县委、县政府交办的其他工作。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核定事业编制6名，其中科技领导职数2名（1正1副）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  <w:bookmarkStart w:id="0" w:name="_GoBack"/>
            <w:bookmarkEnd w:id="0"/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693.95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人员工资增加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557.97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474.34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83.62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135.98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557.16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一般公共服务支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66.23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商业服务业等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490.93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201.19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%。2015年决算数比2014年增加减少，主要原因：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人员工资增加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招商局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工资福利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84.2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商品和服务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116.99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201.19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84.2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23.57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42.64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9.64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116.99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32.64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5.24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15.2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201.19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116.98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58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%，其中：公务用车运行费支出决算为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3.3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1.4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2015年度“三公”经费支出决算数与2014年决算数相比公务用车运行费减少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减少6.7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val="en-US" w:eastAsia="zh-CN"/>
              </w:rPr>
              <w:t xml:space="preserve">减少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>
      <w:pgSz w:w="11906" w:h="16838" w:orient="portrait"/>
      <w:pgMar w:top="1440" w:right="1361" w:bottom="1440" w:left="1361" w:header="851" w:footer="992" w:gutter="0"/>
      <w:cols w:num="1" w:space="0">
        <w:col w:w="9184"/>
      </w:cols>
      <w:rtlGutter w:val="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Pr/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2052-10.1.0.6554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5</Pages>
  <Words>372</Words>
  <Characters>2121</Characters>
  <Application>WPS Office_10.1.0.6554_F1E327BC-269C-435d-A152-05C5408002CA</Application>
  <DocSecurity>0</DocSecurity>
  <Lines>17</Lines>
  <Paragraphs>4</Paragraphs>
  <CharactersWithSpaces>2489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</cp:lastModifiedBy>
  <cp:revision>22</cp:revision>
  <dcterms:created xsi:type="dcterms:W3CDTF">2018-01-03T01:42:00Z</dcterms:created>
  <dcterms:modified xsi:type="dcterms:W3CDTF">2018-01-10T04:02:52Z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2052-10.1.0.6554</vt:lpstr>
  </property>
</Properties>
</file>