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
    <w:tbl>
      <w:tblPr>
        <w:tblStyle w:val="TableNormal"/>
        <w:tblW w:w="9000" w:type="dxa"/>
        <w:jc w:val="center"/>
        <w:tblCellSpacing w:w="0" w:type="dxa"/>
        <w:tblLayout w:type="fixed"/>
        <w:tblCellMar>
          <w:left w:w="0" w:type="dxa"/>
          <w:right w:w="0" w:type="dxa"/>
        </w:tblCellMar>
        <w:tblLook w:val="04A0" w:firstRow="1" w:lastRow="0" w:firstColumn="1" w:lastColumn="0" w:noHBand="0" w:noVBand="1"/>
      </w:tblPr>
      <w:tblGrid>
        <w:gridCol w:w="9000"/>
      </w:tblGrid>
      <w:tr>
        <w:trPr>
          <w:trHeight w:val="675"/>
          <w:tblCellSpacing w:w="0" w:type="dxa"/>
          <w:jc w:val="center"/>
        </w:trPr>
        <w:tc>
          <w:tcPr>
            <w:tcW w:w="9000" w:type="dxa"/>
            <w:vAlign w:val="center"/>
          </w:tcPr>
          <w:p>
            <w:pPr>
              <w:widowControl/>
              <w:spacing w:line="480" w:lineRule="auto"/>
              <w:jc w:val="center"/>
              <w:rPr>
                <w:rFonts w:ascii="宋体" w:eastAsia="宋体" w:hAnsi="宋体" w:cs="宋体"/>
                <w:b/>
                <w:bCs/>
                <w:color w:val="000000"/>
                <w:kern w:val="0"/>
                <w:sz w:val="39"/>
                <w:szCs w:val="39"/>
              </w:rPr>
            </w:pPr>
          </w:p>
          <w:p>
            <w:pPr>
              <w:widowControl/>
              <w:spacing w:line="480" w:lineRule="auto"/>
              <w:jc w:val="center"/>
              <w:rPr>
                <w:rFonts w:ascii="宋体" w:eastAsia="宋体" w:hAnsi="宋体" w:cs="宋体"/>
                <w:b/>
                <w:bCs/>
                <w:color w:val="000000"/>
                <w:kern w:val="0"/>
                <w:sz w:val="36"/>
                <w:szCs w:val="36"/>
              </w:rPr>
            </w:pPr>
            <w:r>
              <w:rPr>
                <w:rFonts w:ascii="宋体" w:eastAsia="宋体" w:hAnsi="宋体" w:cs="宋体"/>
                <w:b/>
                <w:bCs/>
                <w:color w:val="000000"/>
                <w:kern w:val="0"/>
                <w:sz w:val="36"/>
                <w:szCs w:val="36"/>
              </w:rPr>
              <w:t xml:space="preserve">化隆县</w:t>
            </w:r>
            <w:r>
              <w:rPr>
                <w:rFonts w:ascii="宋体" w:eastAsia="宋体" w:hAnsi="宋体" w:cs="宋体" w:hint="eastAsia"/>
                <w:b/>
                <w:bCs/>
                <w:color w:val="000000"/>
                <w:kern w:val="0"/>
                <w:sz w:val="36"/>
                <w:szCs w:val="36"/>
              </w:rPr>
              <w:t xml:space="preserve">公安局</w:t>
            </w:r>
            <w:bookmarkStart w:id="0" w:name="_GoBack"/>
            <w:bookmarkEnd w:id="0"/>
            <w:r>
              <w:rPr>
                <w:rFonts w:ascii="宋体" w:eastAsia="宋体" w:hAnsi="宋体" w:cs="宋体"/>
                <w:b/>
                <w:bCs/>
                <w:color w:val="000000"/>
                <w:kern w:val="0"/>
                <w:sz w:val="36"/>
                <w:szCs w:val="36"/>
              </w:rPr>
              <w:t xml:space="preserve">2015年决算情况说明</w:t>
            </w:r>
          </w:p>
        </w:tc>
      </w:tr>
      <w:tr>
        <w:trPr>
          <w:trHeight w:val="120"/>
          <w:tblCellSpacing w:w="0" w:type="dxa"/>
          <w:jc w:val="center"/>
        </w:trPr>
        <w:tc>
          <w:tcPr>
            <w:tcW w:w="9000" w:type="dxa"/>
            <w:vAlign w:val="center"/>
          </w:tcPr>
          <w:p>
            <w:pPr>
              <w:widowControl/>
              <w:jc w:val="left"/>
              <w:rPr>
                <w:rFonts w:ascii="宋体" w:eastAsia="宋体" w:hAnsi="宋体" w:cs="宋体"/>
                <w:kern w:val="0"/>
                <w:sz w:val="12"/>
                <w:szCs w:val="24"/>
              </w:rPr>
            </w:pPr>
          </w:p>
        </w:tc>
      </w:tr>
      <w:tr>
        <w:trPr>
          <w:tblCellSpacing w:w="0" w:type="dxa"/>
          <w:jc w:val="center"/>
        </w:trPr>
        <w:tc>
          <w:tcPr>
            <w:tcW w:w="9000" w:type="dxa"/>
          </w:tcPr>
          <w:p>
            <w:pPr>
              <w:widowControl/>
              <w:spacing w:line="495" w:lineRule="atLeast"/>
              <w:ind w:firstLine="480"/>
              <w:jc w:val="center"/>
              <w:rPr>
                <w:rFonts w:ascii="Verdana" w:hAnsi="Verdana"/>
                <w:color w:val="000000"/>
              </w:rPr>
            </w:pPr>
            <w:r>
              <w:rPr>
                <w:rFonts w:ascii="仿宋" w:eastAsia="仿宋" w:hAnsi="仿宋" w:cs="宋体" w:hint="eastAsia"/>
                <w:b/>
                <w:bCs/>
                <w:color w:val="000000"/>
                <w:kern w:val="0"/>
                <w:sz w:val="30"/>
                <w:szCs w:val="30"/>
              </w:rPr>
              <w:t xml:space="preserve">第一部分 化隆县公安局概况</w:t>
            </w:r>
          </w:p>
          <w:p>
            <w:pPr>
              <w:pStyle w:val="Normal(Web)"/>
              <w:spacing w:before="0" w:beforeAutospacing="0" w:after="0" w:afterAutospacing="0" w:line="495" w:lineRule="atLeast"/>
              <w:ind w:firstLine="480"/>
              <w:rPr>
                <w:rFonts w:ascii="仿宋" w:eastAsia="仿宋" w:hAnsi="仿宋" w:cs="Verdana"/>
                <w:b/>
                <w:color w:val="000000"/>
                <w:sz w:val="30"/>
                <w:szCs w:val="30"/>
              </w:rPr>
            </w:pPr>
            <w:r w:rsidRPr="00AB65CE">
              <w:rPr>
                <w:rFonts w:ascii="仿宋" w:eastAsia="仿宋" w:hAnsi="仿宋" w:hint="eastAsia"/>
                <w:b/>
                <w:color w:val="000000"/>
                <w:sz w:val="30"/>
                <w:szCs w:val="30"/>
              </w:rPr>
              <w:t xml:space="preserve">一、主要职能</w:t>
            </w:r>
            <w:r w:rsidRPr="00AB65CE">
              <w:rPr>
                <w:rFonts w:eastAsia="仿宋" w:hint="eastAsia"/>
                <w:b/>
                <w:color w:val="000000"/>
                <w:sz w:val="30"/>
                <w:szCs w:val="30"/>
              </w:rPr>
              <w:t xml:space="preserve"> </w:t>
            </w:r>
            <w:r w:rsidRPr="00AB65CE">
              <w:rPr>
                <w:rFonts w:ascii="仿宋" w:eastAsia="仿宋" w:hAnsi="仿宋" w:hint="eastAsia"/>
                <w:b/>
                <w:color w:val="000000"/>
                <w:sz w:val="30"/>
                <w:szCs w:val="30"/>
              </w:rPr>
              <w:t xml:space="preserve">（为机构改革后“三定方案”确定的职能）</w:t>
            </w:r>
          </w:p>
          <w:p>
            <w:pPr>
              <w:pStyle w:val="Normal(Web)"/>
              <w:spacing w:before="0" w:beforeAutospacing="0" w:after="0" w:afterAutospacing="0" w:line="495" w:lineRule="atLeast"/>
              <w:ind w:firstLine="480"/>
              <w:rPr>
                <w:rFonts w:ascii="仿宋" w:eastAsia="仿宋" w:hAnsi="仿宋" w:cs="Verdana"/>
                <w:color w:val="000000"/>
                <w:sz w:val="30"/>
                <w:szCs w:val="30"/>
              </w:rPr>
            </w:pPr>
            <w:r w:rsidRPr="00AB65CE">
              <w:rPr>
                <w:rFonts w:ascii="仿宋" w:eastAsia="仿宋" w:hAnsi="仿宋" w:hint="eastAsia"/>
                <w:color w:val="000000"/>
                <w:sz w:val="30"/>
                <w:szCs w:val="30"/>
              </w:rPr>
              <w:t xml:space="preserve">（一）贯彻执行党和国家关于公安工作的路线、方针、政策和法律法规，组织、指导、检查、监督海东市公安工作。</w:t>
            </w:r>
          </w:p>
          <w:p>
            <w:pPr>
              <w:pStyle w:val="Normal(Web)"/>
              <w:spacing w:before="0" w:beforeAutospacing="0" w:after="0" w:afterAutospacing="0" w:line="495" w:lineRule="atLeast"/>
              <w:ind w:firstLine="480"/>
              <w:rPr>
                <w:rFonts w:ascii="仿宋" w:eastAsia="仿宋" w:hAnsi="仿宋" w:cs="Verdana"/>
                <w:color w:val="000000"/>
                <w:sz w:val="30"/>
                <w:szCs w:val="30"/>
              </w:rPr>
            </w:pPr>
            <w:r w:rsidRPr="00AB65CE">
              <w:rPr>
                <w:rFonts w:ascii="仿宋" w:eastAsia="仿宋" w:hAnsi="仿宋" w:hint="eastAsia"/>
                <w:color w:val="000000"/>
                <w:sz w:val="30"/>
                <w:szCs w:val="30"/>
              </w:rPr>
              <w:t xml:space="preserve">（二）掌握影响稳定、危害国内安全和社会治安的情况，分析形势，制定对策。</w:t>
            </w:r>
          </w:p>
          <w:p>
            <w:pPr>
              <w:pStyle w:val="Normal(Web)"/>
              <w:spacing w:before="0" w:beforeAutospacing="0" w:after="0" w:afterAutospacing="0" w:line="495" w:lineRule="atLeast"/>
              <w:ind w:firstLine="480"/>
              <w:rPr>
                <w:rFonts w:ascii="仿宋" w:eastAsia="仿宋" w:hAnsi="仿宋" w:cs="Verdana"/>
                <w:color w:val="000000"/>
                <w:sz w:val="30"/>
                <w:szCs w:val="30"/>
              </w:rPr>
            </w:pPr>
            <w:r w:rsidRPr="00AB65CE">
              <w:rPr>
                <w:rFonts w:ascii="仿宋" w:eastAsia="仿宋" w:hAnsi="仿宋" w:hint="eastAsia"/>
                <w:color w:val="000000"/>
                <w:sz w:val="30"/>
                <w:szCs w:val="30"/>
              </w:rPr>
              <w:t xml:space="preserve">（三）预防、制止和侦查违法犯罪活动，负责对危害国家安全案件、刑事案件、经济案件以及毒品案件的侦查、预审工作。</w:t>
            </w:r>
          </w:p>
          <w:p>
            <w:pPr>
              <w:pStyle w:val="Normal(Web)"/>
              <w:spacing w:before="0" w:beforeAutospacing="0" w:after="0" w:afterAutospacing="0" w:line="495" w:lineRule="atLeast"/>
              <w:ind w:firstLine="480"/>
              <w:rPr>
                <w:rFonts w:ascii="仿宋" w:eastAsia="仿宋" w:hAnsi="仿宋" w:cs="Verdana"/>
                <w:color w:val="000000"/>
                <w:sz w:val="30"/>
                <w:szCs w:val="30"/>
              </w:rPr>
            </w:pPr>
            <w:r w:rsidRPr="00AB65CE">
              <w:rPr>
                <w:rFonts w:ascii="仿宋" w:eastAsia="仿宋" w:hAnsi="仿宋" w:hint="eastAsia"/>
                <w:color w:val="000000"/>
                <w:sz w:val="30"/>
                <w:szCs w:val="30"/>
              </w:rPr>
              <w:t xml:space="preserve">（四）维护社会治安秩序，制止危害社会治安秩序的行为。</w:t>
            </w:r>
          </w:p>
          <w:p>
            <w:pPr>
              <w:pStyle w:val="Normal(Web)"/>
              <w:spacing w:before="0" w:beforeAutospacing="0" w:after="0" w:afterAutospacing="0" w:line="495" w:lineRule="atLeast"/>
              <w:ind w:firstLine="480"/>
              <w:rPr>
                <w:rFonts w:ascii="仿宋" w:eastAsia="仿宋" w:hAnsi="仿宋" w:cs="Verdana"/>
                <w:color w:val="000000"/>
                <w:sz w:val="30"/>
                <w:szCs w:val="30"/>
              </w:rPr>
            </w:pPr>
            <w:r w:rsidRPr="00AB65CE">
              <w:rPr>
                <w:rFonts w:ascii="仿宋" w:eastAsia="仿宋" w:hAnsi="仿宋" w:hint="eastAsia"/>
                <w:color w:val="000000"/>
                <w:sz w:val="30"/>
                <w:szCs w:val="30"/>
              </w:rPr>
              <w:t xml:space="preserve">（五）维护交通安全和交通秩序，处理交通事故，加强车辆及驾驶员的依法管理。</w:t>
            </w:r>
          </w:p>
          <w:p>
            <w:pPr>
              <w:pStyle w:val="Normal(Web)"/>
              <w:spacing w:before="0" w:beforeAutospacing="0" w:after="0" w:afterAutospacing="0" w:line="495" w:lineRule="atLeast"/>
              <w:ind w:firstLine="480"/>
              <w:rPr>
                <w:rFonts w:ascii="仿宋" w:eastAsia="仿宋" w:hAnsi="仿宋" w:cs="Verdana"/>
                <w:color w:val="000000"/>
                <w:sz w:val="30"/>
                <w:szCs w:val="30"/>
              </w:rPr>
            </w:pPr>
            <w:r w:rsidRPr="00AB65CE">
              <w:rPr>
                <w:rFonts w:ascii="仿宋" w:eastAsia="仿宋" w:hAnsi="仿宋" w:hint="eastAsia"/>
                <w:color w:val="000000"/>
                <w:sz w:val="30"/>
                <w:szCs w:val="30"/>
              </w:rPr>
              <w:t xml:space="preserve">（六）指导、监督公安机关对国家机关、社会团体、企事业单位和重点建设工程的治安保卫工作以及群体性治安保卫工作以及群体性治安保卫组织的治安防范工作。</w:t>
            </w:r>
          </w:p>
          <w:p>
            <w:pPr>
              <w:pStyle w:val="Normal(Web)"/>
              <w:spacing w:before="0" w:beforeAutospacing="0" w:after="0" w:afterAutospacing="0" w:line="495" w:lineRule="atLeast"/>
              <w:ind w:firstLine="480"/>
              <w:rPr>
                <w:rFonts w:ascii="仿宋" w:eastAsia="仿宋" w:hAnsi="仿宋" w:cs="Verdana"/>
                <w:color w:val="000000"/>
                <w:sz w:val="30"/>
                <w:szCs w:val="30"/>
              </w:rPr>
            </w:pPr>
            <w:r w:rsidRPr="00AB65CE">
              <w:rPr>
                <w:rFonts w:ascii="仿宋" w:eastAsia="仿宋" w:hAnsi="仿宋" w:hint="eastAsia"/>
                <w:color w:val="000000"/>
                <w:sz w:val="30"/>
                <w:szCs w:val="30"/>
              </w:rPr>
              <w:t xml:space="preserve">（七）指导、监督、实施公安机关对信息网络的安全监察工作。</w:t>
            </w:r>
          </w:p>
          <w:p>
            <w:pPr>
              <w:pStyle w:val="Normal(Web)"/>
              <w:spacing w:before="0" w:beforeAutospacing="0" w:after="0" w:afterAutospacing="0" w:line="495" w:lineRule="atLeast"/>
              <w:ind w:firstLine="480"/>
              <w:rPr>
                <w:rFonts w:ascii="仿宋" w:eastAsia="仿宋" w:hAnsi="仿宋" w:cs="Verdana"/>
                <w:color w:val="000000"/>
                <w:sz w:val="30"/>
                <w:szCs w:val="30"/>
              </w:rPr>
            </w:pPr>
            <w:r w:rsidRPr="00AB65CE">
              <w:rPr>
                <w:rFonts w:ascii="仿宋" w:eastAsia="仿宋" w:hAnsi="仿宋" w:hint="eastAsia"/>
                <w:color w:val="000000"/>
                <w:sz w:val="30"/>
                <w:szCs w:val="30"/>
              </w:rPr>
              <w:t xml:space="preserve">（八）指导、监督、实施公安机关依法承担的执行刑罚和监督、考察工作；指导、监督、实施对看守所、治安拘留所的管理工作。</w:t>
            </w:r>
          </w:p>
          <w:p>
            <w:pPr>
              <w:pStyle w:val="Normal(Web)"/>
              <w:spacing w:before="0" w:beforeAutospacing="0" w:after="0" w:afterAutospacing="0" w:line="495" w:lineRule="atLeast"/>
              <w:ind w:firstLine="480"/>
              <w:rPr>
                <w:rFonts w:ascii="仿宋" w:eastAsia="仿宋" w:hAnsi="仿宋" w:cs="Verdana"/>
                <w:color w:val="000000"/>
                <w:sz w:val="30"/>
                <w:szCs w:val="30"/>
              </w:rPr>
            </w:pPr>
            <w:r w:rsidRPr="00AB65CE">
              <w:rPr>
                <w:rFonts w:ascii="仿宋" w:eastAsia="仿宋" w:hAnsi="仿宋" w:hint="eastAsia"/>
                <w:color w:val="000000"/>
                <w:sz w:val="30"/>
                <w:szCs w:val="30"/>
              </w:rPr>
              <w:t xml:space="preserve">（九）组织、指导出境、入境和外国人在我县居留、旅行的有关管理工作。</w:t>
            </w:r>
          </w:p>
          <w:p>
            <w:pPr>
              <w:pStyle w:val="Normal(Web)"/>
              <w:spacing w:before="0" w:beforeAutospacing="0" w:after="0" w:afterAutospacing="0" w:line="495" w:lineRule="atLeast"/>
              <w:ind w:firstLine="480"/>
              <w:rPr>
                <w:rFonts w:ascii="仿宋" w:eastAsia="仿宋" w:hAnsi="仿宋" w:cs="Verdana"/>
                <w:color w:val="000000"/>
                <w:sz w:val="30"/>
                <w:szCs w:val="30"/>
              </w:rPr>
            </w:pPr>
            <w:r w:rsidRPr="00AB65CE">
              <w:rPr>
                <w:rFonts w:ascii="仿宋" w:eastAsia="仿宋" w:hAnsi="仿宋" w:hint="eastAsia"/>
                <w:color w:val="000000"/>
                <w:sz w:val="30"/>
                <w:szCs w:val="30"/>
              </w:rPr>
              <w:t xml:space="preserve">（十）依法管理集会、游行、示威活动。</w:t>
            </w:r>
          </w:p>
          <w:p>
            <w:pPr>
              <w:pStyle w:val="Normal(Web)"/>
              <w:spacing w:before="0" w:beforeAutospacing="0" w:after="0" w:afterAutospacing="0" w:line="495" w:lineRule="atLeast"/>
              <w:ind w:firstLine="480"/>
              <w:rPr>
                <w:rFonts w:ascii="仿宋" w:eastAsia="仿宋" w:hAnsi="仿宋" w:cs="Verdana"/>
                <w:color w:val="000000"/>
                <w:sz w:val="30"/>
                <w:szCs w:val="30"/>
              </w:rPr>
            </w:pPr>
            <w:r w:rsidRPr="00AB65CE">
              <w:rPr>
                <w:rFonts w:ascii="仿宋" w:eastAsia="仿宋" w:hAnsi="仿宋" w:hint="eastAsia"/>
                <w:color w:val="000000"/>
                <w:sz w:val="30"/>
                <w:szCs w:val="30"/>
              </w:rPr>
              <w:t xml:space="preserve">（十一）承办县委、县政府和上级公安机关交办的其他事项。</w:t>
            </w:r>
          </w:p>
          <w:p>
            <w:pPr>
              <w:widowControl/>
              <w:spacing w:line="495" w:lineRule="atLeast"/>
              <w:ind w:firstLine="480"/>
              <w:jc w:val="left"/>
              <w:rPr>
                <w:rFonts w:ascii="仿宋" w:eastAsia="仿宋" w:hAnsi="仿宋" w:cs="宋体"/>
                <w:b/>
                <w:color w:val="000000"/>
                <w:kern w:val="0"/>
                <w:sz w:val="30"/>
                <w:szCs w:val="30"/>
              </w:rPr>
            </w:pPr>
            <w:r w:rsidRPr="00AB65CE">
              <w:rPr>
                <w:rFonts w:ascii="仿宋" w:eastAsia="仿宋" w:hAnsi="仿宋" w:cs="宋体" w:hint="eastAsia"/>
                <w:b/>
                <w:color w:val="000000"/>
                <w:kern w:val="0"/>
                <w:sz w:val="30"/>
                <w:szCs w:val="30"/>
              </w:rPr>
              <w:t xml:space="preserve">二、部门决算单位构成</w:t>
            </w:r>
          </w:p>
          <w:p>
            <w:pPr>
              <w:pStyle w:val="Normal(Web)"/>
              <w:spacing w:before="0" w:beforeAutospacing="0" w:after="0" w:afterAutospacing="0" w:line="495" w:lineRule="atLeast"/>
              <w:ind w:firstLine="480"/>
              <w:rPr>
                <w:rFonts w:ascii="仿宋" w:eastAsia="仿宋" w:hAnsi="仿宋"/>
                <w:color w:val="000000"/>
                <w:sz w:val="30"/>
                <w:szCs w:val="30"/>
              </w:rPr>
            </w:pPr>
            <w:r w:rsidRPr="00AB65CE">
              <w:rPr>
                <w:rFonts w:ascii="仿宋" w:eastAsia="仿宋" w:hAnsi="仿宋" w:hint="eastAsia"/>
                <w:color w:val="000000"/>
                <w:sz w:val="30"/>
                <w:szCs w:val="30"/>
              </w:rPr>
              <w:t xml:space="preserve">2015年度决算编制范围包括各级预算单位1个，其中二级预算单位0个。各级单位年末人数185人，其中在职人员162人，事业人员23人</w:t>
            </w:r>
          </w:p>
          <w:p>
            <w:pPr>
              <w:widowControl/>
              <w:spacing w:line="495" w:lineRule="atLeast"/>
              <w:ind w:firstLine="480"/>
              <w:jc w:val="left"/>
              <w:rPr>
                <w:rFonts w:ascii="仿宋" w:eastAsia="仿宋" w:hAnsi="仿宋" w:cs="宋体"/>
                <w:color w:val="000000"/>
                <w:kern w:val="0"/>
                <w:sz w:val="30"/>
                <w:szCs w:val="30"/>
              </w:rPr>
            </w:pPr>
            <w:r w:rsidRPr="00AB65CE">
              <w:rPr>
                <w:rFonts w:ascii="仿宋" w:eastAsia="仿宋" w:hAnsi="仿宋" w:cs="宋体" w:hint="eastAsia"/>
                <w:b/>
                <w:bCs/>
                <w:color w:val="000000"/>
                <w:kern w:val="0"/>
                <w:sz w:val="30"/>
                <w:szCs w:val="30"/>
              </w:rPr>
              <w:t xml:space="preserve">       第二部分 化隆县公安局2015年度部门决算表</w:t>
            </w:r>
          </w:p>
          <w:p>
            <w:pPr>
              <w:widowControl/>
              <w:spacing w:line="495" w:lineRule="atLeast"/>
              <w:ind w:firstLine="480"/>
              <w:jc w:val="left"/>
              <w:rPr>
                <w:rFonts w:ascii="仿宋" w:eastAsia="仿宋" w:hAnsi="仿宋" w:cs="宋体"/>
                <w:color w:val="000000"/>
                <w:kern w:val="0"/>
                <w:sz w:val="30"/>
                <w:szCs w:val="30"/>
              </w:rPr>
            </w:pPr>
            <w:r w:rsidRPr="00AB65CE">
              <w:rPr>
                <w:rFonts w:ascii="仿宋" w:eastAsia="仿宋" w:hAnsi="仿宋" w:cs="宋体" w:hint="eastAsia"/>
                <w:color w:val="000000"/>
                <w:kern w:val="0"/>
                <w:sz w:val="30"/>
                <w:szCs w:val="30"/>
              </w:rPr>
              <w:t xml:space="preserve">一、收入支出决算总表</w:t>
            </w:r>
          </w:p>
          <w:p>
            <w:pPr>
              <w:widowControl/>
              <w:spacing w:line="495" w:lineRule="atLeast"/>
              <w:ind w:firstLine="480"/>
              <w:jc w:val="left"/>
              <w:rPr>
                <w:rFonts w:ascii="仿宋" w:eastAsia="仿宋" w:hAnsi="仿宋" w:cs="宋体"/>
                <w:color w:val="000000"/>
                <w:kern w:val="0"/>
                <w:sz w:val="30"/>
                <w:szCs w:val="30"/>
              </w:rPr>
            </w:pPr>
            <w:r w:rsidRPr="00AB65CE">
              <w:rPr>
                <w:rFonts w:ascii="仿宋" w:eastAsia="仿宋" w:hAnsi="仿宋" w:cs="宋体" w:hint="eastAsia"/>
                <w:color w:val="000000"/>
                <w:kern w:val="0"/>
                <w:sz w:val="30"/>
                <w:szCs w:val="30"/>
              </w:rPr>
              <w:t xml:space="preserve">二、收入决算表</w:t>
            </w:r>
          </w:p>
          <w:p>
            <w:pPr>
              <w:widowControl/>
              <w:spacing w:line="495" w:lineRule="atLeast"/>
              <w:ind w:firstLine="480"/>
              <w:jc w:val="left"/>
              <w:rPr>
                <w:rFonts w:ascii="仿宋" w:eastAsia="仿宋" w:hAnsi="仿宋" w:cs="宋体"/>
                <w:color w:val="000000"/>
                <w:kern w:val="0"/>
                <w:sz w:val="30"/>
                <w:szCs w:val="30"/>
              </w:rPr>
            </w:pPr>
            <w:r w:rsidRPr="00AB65CE">
              <w:rPr>
                <w:rFonts w:ascii="仿宋" w:eastAsia="仿宋" w:hAnsi="仿宋" w:cs="宋体" w:hint="eastAsia"/>
                <w:color w:val="000000"/>
                <w:kern w:val="0"/>
                <w:sz w:val="30"/>
                <w:szCs w:val="30"/>
              </w:rPr>
              <w:t xml:space="preserve">三、支出决算表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四、财政拨款收入支出决算总表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五、一般公共预算财政拨款支出决算表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六、一般公共预算财政拨款基本支出决算表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七、一般公共预算财政拨款“三公”经费支出决算表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八、政府性基金预算财政拨款收入支出决算表</w:t>
            </w:r>
          </w:p>
          <w:p>
            <w:pPr>
              <w:widowControl/>
              <w:spacing w:line="495" w:lineRule="atLeast"/>
              <w:ind w:firstLine="480"/>
              <w:jc w:val="center"/>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 xml:space="preserve">第三部分 化隆县公安局2015年度部门决算情况说明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 xml:space="preserve">一、关于公安局2015年度部门决算收支情况总体说明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2015年度收支总决算 3642.74 万元，比2014</w:t>
            </w:r>
            <w:r w:rsidR="00AB65CE">
              <w:rPr>
                <w:rFonts w:ascii="仿宋" w:eastAsia="仿宋" w:hAnsi="仿宋" w:cs="宋体" w:hint="eastAsia"/>
                <w:color w:val="000000"/>
                <w:kern w:val="0"/>
                <w:sz w:val="30"/>
                <w:szCs w:val="30"/>
              </w:rPr>
              <w:t xml:space="preserve">年收支均有所增长</w:t>
            </w:r>
            <w:r>
              <w:rPr>
                <w:rFonts w:ascii="仿宋" w:eastAsia="仿宋" w:hAnsi="仿宋" w:cs="宋体" w:hint="eastAsia"/>
                <w:color w:val="000000"/>
                <w:kern w:val="0"/>
                <w:sz w:val="30"/>
                <w:szCs w:val="30"/>
              </w:rPr>
              <w:t xml:space="preserve">。其中：</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（一）收入总计3914.7 万元。包括：</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1、财政拨款收入3642.74 万元，为县财政当年拨付资金。</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2、其他收入272 万元，为预算单位在“财政拨款收入”、“事业</w:t>
            </w:r>
            <w:r>
              <w:rPr>
                <w:rFonts w:ascii="仿宋" w:eastAsia="仿宋" w:hAnsi="仿宋" w:cs="宋体" w:hint="eastAsia"/>
                <w:color w:val="000000"/>
                <w:kern w:val="0"/>
                <w:sz w:val="30"/>
                <w:szCs w:val="30"/>
              </w:rPr>
              <w:t xml:space="preserve">收入”、“经营收入”之外取得的收入。例如：存款利息收入和上级主管部门收入。</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3、上年结余结转626.7 万元。结余情况说明：消防结转0.67万元，行政运行结转382.61万元，禁毒管理结转128万元，其他公安支出结转115.41万元</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（二）支出总计3642.74 万元。包括：</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1、人员经费支出2192.66万元</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2、日常公用经费支出1450.07万元</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3、结转下年909.74万元，为本年度或以前年度预算安排、因客观条件发生变化无法按原计划实施，需要延迟到以后年度按有关规定继续使用的资金，既财政拨款结转和结余。</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 xml:space="preserve">二、关于化隆县公安局2015年度一般公共预算财政拨款支出决算情况说明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（一）财政拨款支出决算变化情况。公安局2015</w:t>
            </w:r>
            <w:r w:rsidR="003332E2">
              <w:rPr>
                <w:rFonts w:ascii="仿宋" w:eastAsia="仿宋" w:hAnsi="仿宋" w:cs="宋体" w:hint="eastAsia"/>
                <w:color w:val="000000"/>
                <w:kern w:val="0"/>
                <w:sz w:val="30"/>
                <w:szCs w:val="30"/>
              </w:rPr>
              <w:t xml:space="preserve">年度财政拨款支出</w:t>
            </w:r>
            <w:r>
              <w:rPr>
                <w:rFonts w:ascii="仿宋" w:eastAsia="仿宋" w:hAnsi="仿宋" w:cs="宋体" w:hint="eastAsia"/>
                <w:color w:val="000000"/>
                <w:kern w:val="0"/>
                <w:sz w:val="30"/>
                <w:szCs w:val="30"/>
              </w:rPr>
              <w:t xml:space="preserve">3642.74万元，占本年支出总计的 100 %。2015年决算数比2014年增加，主要原因：人员增加，工资增长</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（二）财政拨款支出决算构成情况。2015年公安局财政拨款用于以下方面：人员经费支出2192.66万元，占71.3%；日常公用经费支出1450.07万元，占28.7 %。</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（三）一般公共预算财政拨款基本支出决算情况说明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2015年度财政拨款基本支出3642.74 万元。其中：</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1、工资福利支出1829.04 万元。其中：基本工资832.8万元、津</w:t>
            </w:r>
            <w:r>
              <w:rPr>
                <w:rFonts w:ascii="仿宋" w:eastAsia="仿宋" w:hAnsi="仿宋" w:cs="宋体" w:hint="eastAsia"/>
                <w:color w:val="000000"/>
                <w:kern w:val="0"/>
                <w:sz w:val="30"/>
                <w:szCs w:val="30"/>
              </w:rPr>
              <w:t xml:space="preserve">贴补贴 724.65万元、奖金171.9万元。</w:t>
            </w:r>
          </w:p>
          <w:p>
            <w:pPr>
              <w:widowControl/>
              <w:spacing w:line="495" w:lineRule="atLeast"/>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2、对个人和家庭的补助363.6 万元。其中：退休费219.8  万元</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3、商品和服务支出1303.49 万元。其中：办公费301.45 万元、水费4.1万元、手续费0.16万元、邮电费58.75 万元、取暖费102.29   万元、差旅费115.77万元、维修（护）费94.93</w:t>
            </w:r>
            <w:r w:rsidR="00AF63CF">
              <w:rPr>
                <w:rFonts w:ascii="仿宋" w:eastAsia="仿宋" w:hAnsi="仿宋" w:cs="宋体" w:hint="eastAsia"/>
                <w:color w:val="000000"/>
                <w:kern w:val="0"/>
                <w:sz w:val="30"/>
                <w:szCs w:val="30"/>
              </w:rPr>
              <w:t xml:space="preserve">万元</w:t>
            </w:r>
            <w:r>
              <w:rPr>
                <w:rFonts w:ascii="仿宋" w:eastAsia="仿宋" w:hAnsi="仿宋" w:cs="宋体" w:hint="eastAsia"/>
                <w:color w:val="000000"/>
                <w:kern w:val="0"/>
                <w:sz w:val="30"/>
                <w:szCs w:val="30"/>
              </w:rPr>
              <w:t xml:space="preserve">、培训费86.5万元、公务接待费38.26万元、劳务费59.01万元、电费23.84 万元、公务用车运行维护费136.77万元、其他商品和服务支出155.23 万元。</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 xml:space="preserve">三、一般公共预算财政拨款“三公”经费支出情况说明</w:t>
            </w:r>
          </w:p>
          <w:p>
            <w:pPr>
              <w:widowControl/>
              <w:spacing w:line="495" w:lineRule="atLeast"/>
              <w:ind w:firstLine="48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 xml:space="preserve">（一）“三公”经费财政拨款支出预算执行情况说明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2015年度“三公”经费接待批次为93个，接待人次为1713人，财政拨款支出预算为134.3万元，其中：公务用车运行费预算116     万元，公务接待费预算18.3 万元。支出决算为175.03 万元，完成预算的100%，其中：公务用车运行费支出决算为136.77 万元，完成预算的100%；公务接待费支出决算为38.26万元，完成预算100%.</w:t>
            </w:r>
          </w:p>
          <w:p>
            <w:pPr>
              <w:widowControl/>
              <w:spacing w:line="495" w:lineRule="atLeast"/>
              <w:ind w:firstLine="48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 xml:space="preserve">（二）“三公”经费财政拨款支出决算情况说明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公务用车运行费支出决算为 116万元，完成预算的100%；公务接待费支出决算为18.3万元，完成预算的100%，具体情况如下：</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1、公务用车运行费支出136.77万元。其中：公务用车运行费支出136.77万元，公务用车保有量为91辆。</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2、公务接待费支出38.26 万元。</w:t>
            </w:r>
          </w:p>
          <w:p>
            <w:pPr>
              <w:widowControl/>
              <w:spacing w:line="495" w:lineRule="atLeast"/>
              <w:ind w:firstLine="48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 xml:space="preserve">（三）“三公”经费与上年执行情况差异说明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2015年度“三公”经费支出决算数与2014年决算数相比公务用车</w:t>
            </w:r>
            <w:r w:rsidR="007F7601">
              <w:rPr>
                <w:rFonts w:ascii="仿宋" w:eastAsia="仿宋" w:hAnsi="仿宋" w:cs="宋体" w:hint="eastAsia"/>
                <w:color w:val="000000"/>
                <w:kern w:val="0"/>
                <w:sz w:val="30"/>
                <w:szCs w:val="30"/>
              </w:rPr>
              <w:t xml:space="preserve">运行费</w:t>
            </w:r>
            <w:r>
              <w:rPr>
                <w:rFonts w:ascii="仿宋" w:eastAsia="仿宋" w:hAnsi="仿宋" w:cs="宋体" w:hint="eastAsia"/>
                <w:color w:val="000000"/>
                <w:kern w:val="0"/>
                <w:sz w:val="30"/>
                <w:szCs w:val="30"/>
              </w:rPr>
              <w:t xml:space="preserve">减少43.11万元，公务接待费增长27.08万元，主要原因是：公务用车开支节源，控制费用；接待费增加。</w:t>
            </w:r>
          </w:p>
          <w:p>
            <w:pPr>
              <w:widowControl/>
              <w:spacing w:line="495" w:lineRule="atLeast"/>
              <w:ind w:firstLine="480"/>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 xml:space="preserve">第四部分 名词解释</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(一)财政拨款收入:指财政当年拨付的资金。</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(二)上级补助收入：指直属上级部门拨付资金。</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(三)事业收入:指事业单位开展业务活动取得的收入。</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(四)事业单位经营收入:指事业单位在业务活动之外开展非独立核算经营活动取得的收入。</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(五)下级单位上缴收入：指所属的事业单位按有关规定上缴的收入。</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(六)其他收入:指预算单位在“财政拨款收入”、“事业收入”、“经营收入”之外取得的收入。</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(八)上年结转和结余:指以前年度支出预算因客观条件变化未执行完毕、结转到本年度按有关规定继续使用的资金，既包括财政拨款结转和结余，也包括事业收入、经管收入、其他收入的结转和结余。</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(九)社会保障和就业(类)行政事业单位离退休(款)</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（1）事业单位离退休:指用于所属事业单位离退休方面的支出。</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(十)结转下年:指以前年度预算安排、因客观条件发生变化无法按原计划实施，需延迟到以后年度按原规定用途继续使用的资金。</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(十一)基本支出:指为保障机构正常运转、完成日常工作任务而发生的人员支出和公用支出。</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（十二）“三公”经费是指本部门（包括所属行政单位、参照公务员法管理的事业单位和其他事业单位）通过财政拨款资金安排的因公出国（境）费、公务用车购置及运行费和公务接待费。</w:t>
            </w:r>
          </w:p>
          <w:p>
            <w:pPr>
              <w:widowControl/>
              <w:spacing w:before="100" w:beforeAutospacing="1" w:after="100" w:afterAutospacing="1" w:line="432" w:lineRule="auto"/>
              <w:jc w:val="left"/>
              <w:rPr>
                <w:rFonts w:ascii="仿宋" w:eastAsia="仿宋" w:hAnsi="仿宋" w:cs="宋体"/>
                <w:color w:val="000000"/>
                <w:kern w:val="0"/>
                <w:sz w:val="30"/>
                <w:szCs w:val="30"/>
              </w:rPr>
            </w:pPr>
          </w:p>
          <w:p>
            <w:pPr>
              <w:widowControl/>
              <w:spacing w:before="100" w:beforeAutospacing="1" w:after="100" w:afterAutospacing="1" w:line="432" w:lineRule="auto"/>
              <w:jc w:val="left"/>
              <w:rPr>
                <w:rFonts w:ascii="仿宋" w:eastAsia="仿宋" w:hAnsi="仿宋" w:cs="宋体"/>
                <w:color w:val="000000"/>
                <w:kern w:val="0"/>
                <w:sz w:val="30"/>
                <w:szCs w:val="30"/>
              </w:rPr>
            </w:pPr>
          </w:p>
        </w:tc>
      </w:tr>
    </w:tbl>
    <w:p>
      <w:pPr>
        <w:rPr>
          <w:rFonts w:ascii="仿宋" w:eastAsia="仿宋" w:hAnsi="仿宋"/>
          <w:sz w:val="30"/>
          <w:szCs w:val="30"/>
        </w:rPr>
      </w:pPr>
    </w:p>
    <w:sectPr w:rsidSect="004C4FB7">
      <w:pgSz w:w="11906" w:h="16838" w:orient="portrait"/>
      <w:pgMar w:top="1440" w:right="1361" w:bottom="1440" w:left="1361" w:header="851" w:footer="992" w:gutter="0"/>
      <w:cols w:num="1" w:space="425">
        <w:col w:w="9184"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3" w:usb2="00000009" w:usb3="00000000" w:csb0="000001FF" w:csb1="00000000"/>
  </w:font>
  <w:font w:name="仿宋">
    <w:panose1 w:val="02010609060101010101"/>
    <w:charset w:val="86"/>
    <w:family w:val="Auto"/>
    <w:pitch w:val="fixed"/>
    <w:sig w:usb0="800002BF" w:usb1="38CF7CFA" w:usb2="00000016" w:usb3="00000000" w:csb0="00040001"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m:mathPr>
    <m:mathFont m:val="Cambria Math"/>
    <m:brkBin m:val="before"/>
    <m:brkBinSub m:val="--"/>
    <m:smallFrac/>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FB7"/>
    <w:pPr>
      <w:widowControl w:val="0"/>
      <w:jc w:val="both"/>
    </w:pPr>
    <w:rPr>
      <w:kern w:val="2"/>
      <w:sz w:val="21"/>
      <w:szCs w:val="22"/>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Footer">
    <w:name w:val="Footer"/>
    <w:basedOn w:val="Normal"/>
    <w:uiPriority w:val="99"/>
    <w:unhideWhenUsed/>
    <w:rsid w:val="004C4FB7"/>
    <w:pPr>
      <w:tabs>
        <w:tab w:val="center" w:pos="4153"/>
        <w:tab w:val="right" w:pos="8306"/>
      </w:tabs>
      <w:snapToGrid w:val="0"/>
      <w:jc w:val="left"/>
    </w:pPr>
    <w:rPr>
      <w:sz w:val="18"/>
      <w:szCs w:val="18"/>
    </w:rPr>
  </w:style>
  <w:style w:type="paragraph" w:styleId="Header">
    <w:name w:val="Header"/>
    <w:basedOn w:val="Normal"/>
    <w:uiPriority w:val="99"/>
    <w:unhideWhenUsed/>
    <w:rsid w:val="004C4FB7"/>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qFormat/>
    <w:rsid w:val="004C4FB7"/>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22"/>
    <w:qFormat/>
    <w:rsid w:val="004C4FB7"/>
    <w:rPr>
      <w:b/>
      <w:bCs/>
    </w:rPr>
  </w:style>
  <w:style w:type="paragraph" w:customStyle="1" w:styleId="p">
    <w:name w:val="p"/>
    <w:basedOn w:val="Normal"/>
    <w:rsid w:val="004C4FB7"/>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DefaultParagraphFont"/>
    <w:rsid w:val="004C4FB7"/>
    <w:rPr/>
  </w:style>
  <w:style w:type="character" w:customStyle="1" w:styleId="页眉Char">
    <w:name w:val="页眉 Char"/>
    <w:basedOn w:val="DefaultParagraphFont"/>
    <w:uiPriority w:val="99"/>
    <w:semiHidden/>
    <w:qFormat/>
    <w:rsid w:val="004C4FB7"/>
    <w:rPr>
      <w:sz w:val="18"/>
      <w:szCs w:val="18"/>
    </w:rPr>
  </w:style>
  <w:style w:type="character" w:customStyle="1" w:styleId="页脚Char">
    <w:name w:val="页脚 Char"/>
    <w:basedOn w:val="DefaultParagraphFont"/>
    <w:uiPriority w:val="99"/>
    <w:semiHidden/>
    <w:rsid w:val="004C4FB7"/>
    <w:rPr>
      <w:sz w:val="18"/>
      <w:szCs w:val="18"/>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2052-10.1.0.6395</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9</TotalTime>
  <Pages>6</Pages>
  <Words>431</Words>
  <Characters>2458</Characters>
  <Application>Microsoft Office Word</Application>
  <DocSecurity>0</DocSecurity>
  <Lines>20</Lines>
  <Paragraphs>5</Paragraphs>
  <CharactersWithSpaces>2884</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27</cp:revision>
  <dcterms:created xsi:type="dcterms:W3CDTF">2018-01-03T01:42:00Z</dcterms:created>
  <dcterms:modified xsi:type="dcterms:W3CDTF">2018-01-11T12:09:00Z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2052-10.1.0.6395</vt:lpstr>
  </property>
</Properties>
</file>