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00" w:lineRule="exact"/>
        <w:ind w:right="-334" w:rightChars="-159"/>
        <w:jc w:val="left"/>
        <w:rPr>
          <w:rFonts w:ascii="仿宋_GB2312" w:hAnsi="Arial Black" w:eastAsia="仿宋_GB2312" w:cs="Arial"/>
          <w:color w:val="2B2B2B"/>
          <w:kern w:val="0"/>
          <w:sz w:val="32"/>
          <w:szCs w:val="32"/>
        </w:rPr>
      </w:pPr>
    </w:p>
    <w:p>
      <w:pPr>
        <w:widowControl/>
        <w:spacing w:line="600" w:lineRule="exact"/>
        <w:ind w:right="-334" w:rightChars="-159"/>
        <w:jc w:val="left"/>
        <w:rPr>
          <w:rFonts w:ascii="仿宋_GB2312" w:hAnsi="Arial Black" w:eastAsia="仿宋_GB2312" w:cs="Arial"/>
          <w:color w:val="2B2B2B"/>
          <w:kern w:val="0"/>
          <w:sz w:val="32"/>
          <w:szCs w:val="32"/>
        </w:rPr>
      </w:pPr>
    </w:p>
    <w:p>
      <w:pPr>
        <w:widowControl/>
        <w:spacing w:line="600" w:lineRule="exact"/>
        <w:ind w:right="-334" w:rightChars="-159"/>
        <w:jc w:val="left"/>
        <w:rPr>
          <w:rFonts w:ascii="仿宋_GB2312" w:hAnsi="Arial Black" w:eastAsia="仿宋_GB2312" w:cs="Arial"/>
          <w:color w:val="2B2B2B"/>
          <w:kern w:val="0"/>
          <w:sz w:val="32"/>
          <w:szCs w:val="32"/>
        </w:rPr>
      </w:pPr>
    </w:p>
    <w:p>
      <w:pPr>
        <w:widowControl/>
        <w:spacing w:line="600" w:lineRule="exact"/>
        <w:ind w:right="-334" w:rightChars="-159"/>
        <w:jc w:val="left"/>
        <w:rPr>
          <w:rFonts w:ascii="仿宋_GB2312" w:hAnsi="Arial Black" w:eastAsia="仿宋_GB2312" w:cs="Arial"/>
          <w:color w:val="2B2B2B"/>
          <w:kern w:val="0"/>
          <w:sz w:val="32"/>
          <w:szCs w:val="32"/>
        </w:rPr>
      </w:pPr>
    </w:p>
    <w:p>
      <w:pPr>
        <w:widowControl/>
        <w:spacing w:line="600" w:lineRule="exact"/>
        <w:ind w:right="-334" w:rightChars="-159"/>
        <w:jc w:val="left"/>
        <w:rPr>
          <w:rFonts w:ascii="仿宋_GB2312" w:hAnsi="Arial Black" w:eastAsia="仿宋_GB2312" w:cs="Arial"/>
          <w:color w:val="2B2B2B"/>
          <w:kern w:val="0"/>
          <w:sz w:val="32"/>
          <w:szCs w:val="32"/>
        </w:rPr>
      </w:pPr>
      <w:r>
        <w:rPr>
          <w:rFonts w:hint="eastAsia" w:ascii="仿宋_GB2312" w:hAnsi="Arial Black" w:eastAsia="仿宋_GB2312" w:cs="Arial"/>
          <w:color w:val="2B2B2B"/>
          <w:kern w:val="0"/>
          <w:sz w:val="32"/>
          <w:szCs w:val="32"/>
        </w:rPr>
        <w:t xml:space="preserve"> </w:t>
      </w:r>
    </w:p>
    <w:p>
      <w:pPr>
        <w:widowControl/>
        <w:spacing w:line="600" w:lineRule="exact"/>
        <w:ind w:right="-334" w:rightChars="-159" w:firstLine="2880" w:firstLineChars="900"/>
        <w:jc w:val="left"/>
        <w:rPr>
          <w:rFonts w:ascii="仿宋" w:hAnsi="仿宋" w:eastAsia="仿宋" w:cs="Arial"/>
          <w:color w:val="2B2B2B"/>
          <w:kern w:val="0"/>
          <w:sz w:val="32"/>
          <w:szCs w:val="32"/>
        </w:rPr>
      </w:pPr>
      <w:r>
        <w:rPr>
          <w:rFonts w:hint="eastAsia" w:ascii="仿宋" w:hAnsi="仿宋" w:eastAsia="仿宋" w:cs="Arial"/>
          <w:color w:val="2B2B2B"/>
          <w:kern w:val="0"/>
          <w:sz w:val="32"/>
          <w:szCs w:val="32"/>
        </w:rPr>
        <w:t>化生环字〔20</w:t>
      </w:r>
      <w:r>
        <w:rPr>
          <w:rFonts w:hint="eastAsia" w:ascii="仿宋" w:hAnsi="仿宋" w:eastAsia="仿宋" w:cs="Arial"/>
          <w:color w:val="2B2B2B"/>
          <w:kern w:val="0"/>
          <w:sz w:val="32"/>
          <w:szCs w:val="32"/>
          <w:lang w:val="en-US" w:eastAsia="zh-CN"/>
        </w:rPr>
        <w:t>24</w:t>
      </w:r>
      <w:r>
        <w:rPr>
          <w:rFonts w:hint="eastAsia" w:ascii="仿宋" w:hAnsi="仿宋" w:eastAsia="仿宋" w:cs="Arial"/>
          <w:color w:val="2B2B2B"/>
          <w:kern w:val="0"/>
          <w:sz w:val="32"/>
          <w:szCs w:val="32"/>
        </w:rPr>
        <w:t>〕  号</w:t>
      </w:r>
    </w:p>
    <w:p>
      <w:pPr>
        <w:keepNext w:val="0"/>
        <w:keepLines w:val="0"/>
        <w:pageBreakBefore w:val="0"/>
        <w:widowControl/>
        <w:kinsoku/>
        <w:wordWrap/>
        <w:overflowPunct/>
        <w:topLinePunct w:val="0"/>
        <w:autoSpaceDE/>
        <w:autoSpaceDN/>
        <w:bidi w:val="0"/>
        <w:adjustRightInd w:val="0"/>
        <w:snapToGrid w:val="0"/>
        <w:spacing w:line="580" w:lineRule="exact"/>
        <w:ind w:right="-334" w:rightChars="-159"/>
        <w:jc w:val="left"/>
        <w:textAlignment w:val="auto"/>
        <w:rPr>
          <w:rFonts w:ascii="仿宋" w:hAnsi="仿宋" w:eastAsia="仿宋" w:cs="Arial"/>
          <w:color w:val="2B2B2B"/>
          <w:kern w:val="0"/>
          <w:sz w:val="32"/>
          <w:szCs w:val="32"/>
        </w:rPr>
      </w:pPr>
      <w:r>
        <w:rPr>
          <w:rFonts w:hint="eastAsia" w:ascii="仿宋" w:hAnsi="仿宋" w:eastAsia="仿宋" w:cs="Arial"/>
          <w:color w:val="2B2B2B"/>
          <w:kern w:val="0"/>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44"/>
          <w:szCs w:val="44"/>
        </w:rPr>
        <w:t>关于《废旧轮胎深加工项目环境影响报告表》的批复</w:t>
      </w:r>
    </w:p>
    <w:p>
      <w:pPr>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化隆化达再生资源开发利用有限公司：</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你公司报送的《废旧轮胎深加工项目环境影响报告表》</w:t>
      </w:r>
      <w:r>
        <w:rPr>
          <w:rFonts w:hint="eastAsia" w:ascii="仿宋" w:hAnsi="仿宋" w:eastAsia="仿宋" w:cs="仿宋"/>
          <w:bCs/>
          <w:sz w:val="32"/>
          <w:szCs w:val="32"/>
          <w:lang w:val="en-US" w:eastAsia="zh-CN"/>
        </w:rPr>
        <w:t>（以下简称《报告表》）及专家组审查意见已收悉，根据专家组审查意见，经党组会研究，现将有关事宜批复如下：</w:t>
      </w:r>
      <w:r>
        <w:rPr>
          <w:rFonts w:hint="eastAsia" w:ascii="仿宋_GB2312" w:hAnsi="仿宋_GB2312" w:eastAsia="仿宋_GB2312" w:cs="仿宋_GB2312"/>
          <w:sz w:val="32"/>
          <w:szCs w:val="32"/>
        </w:rPr>
        <w:t xml:space="preserve">   </w:t>
      </w:r>
    </w:p>
    <w:p>
      <w:pPr>
        <w:keepNext w:val="0"/>
        <w:keepLines w:val="0"/>
        <w:pageBreakBefore w:val="0"/>
        <w:widowControl w:val="0"/>
        <w:numPr>
          <w:ilvl w:val="0"/>
          <w:numId w:val="1"/>
        </w:numPr>
        <w:kinsoku/>
        <w:wordWrap/>
        <w:overflowPunct/>
        <w:topLinePunct w:val="0"/>
        <w:autoSpaceDE/>
        <w:autoSpaceDN/>
        <w:bidi w:val="0"/>
        <w:adjustRightInd w:val="0"/>
        <w:snapToGrid w:val="0"/>
        <w:spacing w:line="580" w:lineRule="exact"/>
        <w:ind w:firstLine="643"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项目概况</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本项目位于</w:t>
      </w:r>
      <w:r>
        <w:rPr>
          <w:rFonts w:hint="eastAsia" w:ascii="仿宋_GB2312" w:hAnsi="仿宋_GB2312" w:eastAsia="仿宋_GB2312" w:cs="仿宋_GB2312"/>
          <w:sz w:val="32"/>
          <w:szCs w:val="32"/>
          <w:lang w:val="en-US" w:eastAsia="zh-CN"/>
        </w:rPr>
        <w:t>化隆巴燕加合经济园。建设规模：设计年处理废旧轮胎2万吨。建设内容：新建废旧轮胎深加工车间1栋，废旧轮胎深加工分解车间</w:t>
      </w:r>
      <w:r>
        <w:rPr>
          <w:rFonts w:hint="eastAsia" w:ascii="仿宋" w:hAnsi="仿宋" w:eastAsia="仿宋" w:cs="仿宋"/>
          <w:bCs/>
          <w:sz w:val="32"/>
          <w:szCs w:val="32"/>
          <w:lang w:val="en-US" w:eastAsia="zh-CN"/>
        </w:rPr>
        <w:t>1栋，办公楼1栋，消防水池，大门值班室，公厕1座，购置废旧轮胎深加工机械设备2套，装载机、自卸车、地磅、备品备件、办公设备仪器、叉</w:t>
      </w:r>
      <w:r>
        <w:rPr>
          <w:rFonts w:hint="eastAsia" w:ascii="仿宋_GB2312" w:hAnsi="仿宋_GB2312" w:eastAsia="仿宋_GB2312" w:cs="仿宋_GB2312"/>
          <w:sz w:val="32"/>
          <w:szCs w:val="32"/>
          <w:lang w:val="en-US" w:eastAsia="zh-CN"/>
        </w:rPr>
        <w:t>车等。总投资为1700万元，其中环保投资56万元。</w:t>
      </w:r>
    </w:p>
    <w:p>
      <w:pPr>
        <w:keepNext w:val="0"/>
        <w:keepLines w:val="0"/>
        <w:pageBreakBefore w:val="0"/>
        <w:widowControl w:val="0"/>
        <w:kinsoku/>
        <w:wordWrap/>
        <w:overflowPunct/>
        <w:topLinePunct w:val="0"/>
        <w:autoSpaceDE/>
        <w:autoSpaceDN/>
        <w:bidi w:val="0"/>
        <w:adjustRightInd w:val="0"/>
        <w:snapToGrid w:val="0"/>
        <w:spacing w:line="580" w:lineRule="exact"/>
        <w:ind w:firstLine="643"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二、根据报告表评价结论及专家组评审综合意见且建设单位在认真落实《报告表》所提各项污染防治措施，确保污染物稳定达标排放的前提下，我局同意你单位按《报告表》中所列建设项目的地点、性质、规模、环境保护措施进行项目建设。</w:t>
      </w:r>
    </w:p>
    <w:p>
      <w:pPr>
        <w:keepNext w:val="0"/>
        <w:keepLines w:val="0"/>
        <w:pageBreakBefore w:val="0"/>
        <w:widowControl w:val="0"/>
        <w:kinsoku/>
        <w:wordWrap/>
        <w:overflowPunct/>
        <w:topLinePunct w:val="0"/>
        <w:autoSpaceDE/>
        <w:autoSpaceDN/>
        <w:bidi w:val="0"/>
        <w:adjustRightInd w:val="0"/>
        <w:snapToGrid w:val="0"/>
        <w:spacing w:line="580" w:lineRule="exact"/>
        <w:ind w:firstLine="643" w:firstLineChars="200"/>
        <w:textAlignment w:val="auto"/>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三、在</w:t>
      </w:r>
      <w:r>
        <w:rPr>
          <w:rFonts w:hint="eastAsia" w:ascii="仿宋_GB2312" w:hAnsi="仿宋_GB2312" w:eastAsia="仿宋_GB2312" w:cs="仿宋_GB2312"/>
          <w:b/>
          <w:color w:val="000000"/>
          <w:sz w:val="32"/>
          <w:szCs w:val="32"/>
          <w:lang w:val="en-US" w:eastAsia="zh-CN"/>
        </w:rPr>
        <w:t>项目建设和运营期间，你</w:t>
      </w:r>
      <w:r>
        <w:rPr>
          <w:rFonts w:hint="eastAsia" w:ascii="仿宋_GB2312" w:hAnsi="仿宋_GB2312" w:eastAsia="仿宋_GB2312" w:cs="仿宋_GB2312"/>
          <w:b/>
          <w:color w:val="000000"/>
          <w:sz w:val="32"/>
          <w:szCs w:val="32"/>
        </w:rPr>
        <w:t>公司必须落实报告表中提出的各项环保要求。并做好以下工作：</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r>
        <w:rPr>
          <w:rFonts w:hint="eastAsia" w:ascii="楷体" w:hAnsi="楷体" w:eastAsia="楷体" w:cs="楷体"/>
          <w:b/>
          <w:bCs w:val="0"/>
          <w:color w:val="000000" w:themeColor="text1"/>
          <w:kern w:val="0"/>
          <w:sz w:val="32"/>
          <w:szCs w:val="32"/>
          <w:shd w:val="clear" w:color="auto" w:fill="FFFFFF"/>
          <w:lang w:eastAsia="zh-CN"/>
          <w14:textFill>
            <w14:solidFill>
              <w14:schemeClr w14:val="tx1"/>
            </w14:solidFill>
          </w14:textFill>
        </w:rPr>
        <w:t>严格落实施工期污染控制措施。</w:t>
      </w:r>
      <w:r>
        <w:rPr>
          <w:rFonts w:hint="eastAsia" w:ascii="仿宋_GB2312" w:hAnsi="仿宋_GB2312" w:eastAsia="仿宋_GB2312" w:cs="仿宋_GB2312"/>
          <w:sz w:val="32"/>
          <w:szCs w:val="32"/>
          <w:lang w:val="en-US" w:eastAsia="zh-CN"/>
        </w:rPr>
        <w:t>加大建筑工地等扬尘污染防治工作力度，提高建设、施工、监理等单位扬尘防治意识；当出现污染天气时，及时根据预警预报，停止土方开挖、粉料运输等作业，加大施工场地洒水、喷雾降尘频次，施工现场裸露地严格落实全覆盖措施。施工废水经沉淀池沉淀后用于场地抑尘或进行二次利用，施工人员洗漱用水泼洒用于场地抑尘，</w:t>
      </w:r>
      <w:r>
        <w:rPr>
          <w:rFonts w:hint="eastAsia" w:ascii="仿宋_GB2312" w:hAnsi="仿宋_GB2312" w:eastAsia="仿宋_GB2312" w:cs="仿宋_GB2312"/>
          <w:sz w:val="32"/>
          <w:szCs w:val="32"/>
          <w:highlight w:val="none"/>
          <w:lang w:val="en-US" w:eastAsia="zh-CN"/>
        </w:rPr>
        <w:t>施工现场设置临时防渗旱厕，在施工期结束后拆除。</w:t>
      </w:r>
      <w:r>
        <w:rPr>
          <w:rFonts w:hint="eastAsia" w:ascii="仿宋_GB2312" w:hAnsi="仿宋_GB2312" w:eastAsia="仿宋_GB2312" w:cs="仿宋_GB2312"/>
          <w:sz w:val="32"/>
          <w:szCs w:val="32"/>
          <w:lang w:val="en-US" w:eastAsia="zh-CN"/>
        </w:rPr>
        <w:t>施工噪声排放执行《建筑施工厂界环境噪声排放标准》(GB12523-2011)；施工固体废弃物应集中收集、回收利用、规范处置。</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eastAsia" w:ascii="楷体" w:hAnsi="楷体" w:eastAsia="楷体" w:cs="楷体"/>
          <w:b/>
          <w:bCs w:val="0"/>
          <w:color w:val="000000" w:themeColor="text1"/>
          <w:kern w:val="0"/>
          <w:sz w:val="32"/>
          <w:szCs w:val="32"/>
          <w:shd w:val="clear" w:color="auto" w:fill="FFFFFF"/>
          <w:lang w:eastAsia="zh-CN"/>
          <w14:textFill>
            <w14:solidFill>
              <w14:schemeClr w14:val="tx1"/>
            </w14:solidFill>
          </w14:textFill>
        </w:rPr>
        <w:t>严格落实运营期大气污染控制措施。</w:t>
      </w:r>
      <w:r>
        <w:rPr>
          <w:rFonts w:hint="eastAsia" w:ascii="仿宋_GB2312" w:hAnsi="仿宋_GB2312" w:eastAsia="仿宋_GB2312" w:cs="仿宋_GB2312"/>
          <w:sz w:val="32"/>
          <w:szCs w:val="32"/>
          <w:lang w:val="en-US" w:eastAsia="zh-CN"/>
        </w:rPr>
        <w:t>本项目运营期产生的大气污染物主要为废旧轮胎热裂解产生的废气，经废气净化系统处理(布袋除尘+湿法脱硫+低氮燃烧+活性炭吸附+1根15m高排气筒)后达标排放</w:t>
      </w:r>
      <w:r>
        <w:rPr>
          <w:rFonts w:hint="eastAsia" w:ascii="仿宋_GB2312" w:hAnsi="仿宋_GB2312" w:eastAsia="仿宋_GB2312" w:cs="仿宋_GB2312"/>
          <w:sz w:val="32"/>
          <w:szCs w:val="32"/>
          <w:lang w:val="en-US" w:eastAsia="zh-CN"/>
        </w:rPr>
        <w:t>，破碎工段产生的废气经布袋除尘后由 1根15m高排气筒排放。营运期热裂解器（含加热装置）尾气有组织排放浓度执行《石油化学工业污染物排放标准》（GB31571-2015）表5特别排放浓度限值；硫化氢排放浓度执行《恶臭污染物排放标准》（GB14554-93）中的排放限值。</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lang w:val="en-US" w:eastAsia="zh-CN"/>
        </w:rPr>
        <w:t>3、</w:t>
      </w:r>
      <w:r>
        <w:rPr>
          <w:rFonts w:hint="eastAsia" w:ascii="仿宋" w:hAnsi="仿宋" w:eastAsia="仿宋" w:cs="仿宋"/>
          <w:b/>
          <w:bCs w:val="0"/>
          <w:sz w:val="32"/>
          <w:szCs w:val="32"/>
          <w:lang w:val="en-US" w:eastAsia="zh-CN"/>
        </w:rPr>
        <w:t>严格落实水污染控制措施。</w:t>
      </w:r>
      <w:r>
        <w:rPr>
          <w:rFonts w:hint="eastAsia" w:ascii="仿宋_GB2312" w:hAnsi="仿宋_GB2312" w:eastAsia="仿宋_GB2312" w:cs="仿宋_GB2312"/>
          <w:sz w:val="32"/>
          <w:szCs w:val="32"/>
          <w:highlight w:val="none"/>
          <w:lang w:val="en-US" w:eastAsia="zh-CN"/>
        </w:rPr>
        <w:t>本项目运营期废水主要为员工生活污水、脱硫除尘用水和水封用水。生活污水集中收集到沉淀池后定期由吸粪车及时抽运至巴燕镇污水处理厂；脱硫除尘用水经沉淀后循环使用，不外排。</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w:t>
      </w:r>
      <w:r>
        <w:rPr>
          <w:rFonts w:hint="eastAsia" w:ascii="仿宋" w:hAnsi="仿宋" w:eastAsia="仿宋" w:cs="仿宋"/>
          <w:b/>
          <w:bCs w:val="0"/>
          <w:sz w:val="32"/>
          <w:szCs w:val="32"/>
          <w:lang w:val="en-US" w:eastAsia="zh-CN"/>
        </w:rPr>
        <w:t>严格落实固体废物污染控制措施</w:t>
      </w:r>
      <w:r>
        <w:rPr>
          <w:rFonts w:hint="eastAsia" w:ascii="仿宋" w:hAnsi="仿宋" w:eastAsia="仿宋" w:cs="仿宋"/>
          <w:b w:val="0"/>
          <w:bCs/>
          <w:sz w:val="32"/>
          <w:szCs w:val="32"/>
          <w:lang w:val="en-US" w:eastAsia="zh-CN"/>
        </w:rPr>
        <w:t>。认真落实固体废物处置措施，确保本项目产生的固体废物均合理处置；危险废物按《危险废物贮存污染控制标准》(GB18597-2023)的有关规定，设置</w:t>
      </w:r>
      <w:r>
        <w:rPr>
          <w:rFonts w:hint="eastAsia" w:ascii="仿宋_GB2312" w:hAnsi="仿宋_GB2312" w:eastAsia="仿宋_GB2312" w:cs="仿宋_GB2312"/>
          <w:sz w:val="32"/>
          <w:szCs w:val="32"/>
          <w:lang w:val="en-US" w:eastAsia="zh-CN"/>
        </w:rPr>
        <w:t>危废暂存间，并委托有资质</w:t>
      </w:r>
      <w:r>
        <w:rPr>
          <w:rFonts w:hint="eastAsia" w:ascii="仿宋" w:hAnsi="仿宋" w:eastAsia="仿宋" w:cs="仿宋"/>
          <w:b w:val="0"/>
          <w:bCs/>
          <w:sz w:val="32"/>
          <w:szCs w:val="32"/>
          <w:lang w:val="en-US" w:eastAsia="zh-CN"/>
        </w:rPr>
        <w:t>的危废处置单位进行统一处置。同时在危废收集、贮存、转运过程中应严格实行转移联单制度。</w:t>
      </w:r>
      <w:r>
        <w:rPr>
          <w:rFonts w:hint="eastAsia" w:ascii="仿宋_GB2312" w:hAnsi="仿宋_GB2312" w:eastAsia="仿宋_GB2312" w:cs="仿宋_GB2312"/>
          <w:sz w:val="32"/>
          <w:szCs w:val="32"/>
          <w:lang w:val="en-US" w:eastAsia="zh-CN"/>
        </w:rPr>
        <w:t>生产过程中产生的脱硫石膏等一般工业固体废物的收集、贮存、日常管理必须严格执行《一般工业固体废物贮存和填埋污染控制标准》(GB18599-2020)中的相关要求。生活垃圾分类收集，及时清运到巴燕垃圾填埋场。</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w:t>
      </w:r>
      <w:r>
        <w:rPr>
          <w:rFonts w:hint="eastAsia" w:ascii="仿宋" w:hAnsi="仿宋" w:eastAsia="仿宋" w:cs="仿宋"/>
          <w:b/>
          <w:bCs w:val="0"/>
          <w:sz w:val="32"/>
          <w:szCs w:val="32"/>
          <w:lang w:val="en-US" w:eastAsia="zh-CN"/>
        </w:rPr>
        <w:t>严格落实噪声污染控制措施。</w:t>
      </w:r>
      <w:r>
        <w:rPr>
          <w:rFonts w:hint="eastAsia" w:ascii="仿宋" w:hAnsi="仿宋" w:eastAsia="仿宋" w:cs="仿宋"/>
          <w:b w:val="0"/>
          <w:bCs/>
          <w:sz w:val="32"/>
          <w:szCs w:val="32"/>
          <w:lang w:val="en-US" w:eastAsia="zh-CN"/>
        </w:rPr>
        <w:t>认真落实噪声源的降噪措施，</w:t>
      </w:r>
      <w:r>
        <w:rPr>
          <w:rFonts w:hint="default" w:ascii="仿宋" w:hAnsi="仿宋" w:eastAsia="仿宋" w:cs="仿宋"/>
          <w:b w:val="0"/>
          <w:bCs/>
          <w:sz w:val="32"/>
          <w:szCs w:val="32"/>
          <w:lang w:val="en-US" w:eastAsia="zh-CN"/>
        </w:rPr>
        <w:t>采用低噪声设备，安装减震垫、消声器，做好机械日常维护，对设备定期进行检查和维修，运输车辆限速禁鸣，确保</w:t>
      </w:r>
      <w:r>
        <w:rPr>
          <w:rFonts w:hint="eastAsia" w:ascii="仿宋" w:hAnsi="仿宋" w:eastAsia="仿宋" w:cs="仿宋"/>
          <w:b w:val="0"/>
          <w:bCs/>
          <w:sz w:val="32"/>
          <w:szCs w:val="32"/>
          <w:lang w:val="en-US" w:eastAsia="zh-CN"/>
        </w:rPr>
        <w:t>厂界噪声</w:t>
      </w:r>
      <w:r>
        <w:rPr>
          <w:rFonts w:hint="default" w:ascii="仿宋" w:hAnsi="仿宋" w:eastAsia="仿宋" w:cs="仿宋"/>
          <w:b w:val="0"/>
          <w:bCs/>
          <w:sz w:val="32"/>
          <w:szCs w:val="32"/>
          <w:lang w:val="zh-CN" w:eastAsia="zh-CN"/>
        </w:rPr>
        <w:t>满足《工业企业厂界环境噪声排放标准》（GB12348-2008）</w:t>
      </w:r>
      <w:r>
        <w:rPr>
          <w:rFonts w:hint="eastAsia" w:ascii="仿宋" w:hAnsi="仿宋" w:eastAsia="仿宋" w:cs="仿宋"/>
          <w:b w:val="0"/>
          <w:bCs/>
          <w:sz w:val="32"/>
          <w:szCs w:val="32"/>
          <w:lang w:val="en-US" w:eastAsia="zh-CN"/>
        </w:rPr>
        <w:t>2</w:t>
      </w:r>
      <w:r>
        <w:rPr>
          <w:rFonts w:hint="default" w:ascii="仿宋" w:hAnsi="仿宋" w:eastAsia="仿宋" w:cs="仿宋"/>
          <w:b w:val="0"/>
          <w:bCs/>
          <w:sz w:val="32"/>
          <w:szCs w:val="32"/>
          <w:lang w:val="en-US" w:eastAsia="zh-CN"/>
        </w:rPr>
        <w:t>类</w:t>
      </w:r>
      <w:r>
        <w:rPr>
          <w:rFonts w:hint="eastAsia" w:ascii="仿宋" w:hAnsi="仿宋" w:eastAsia="仿宋" w:cs="仿宋"/>
          <w:b w:val="0"/>
          <w:bCs/>
          <w:sz w:val="32"/>
          <w:szCs w:val="32"/>
          <w:lang w:val="en-US" w:eastAsia="zh-CN"/>
        </w:rPr>
        <w:t xml:space="preserve">区标准限值。  </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w:t>
      </w:r>
      <w:r>
        <w:rPr>
          <w:rFonts w:hint="eastAsia" w:ascii="仿宋" w:hAnsi="仿宋" w:eastAsia="仿宋" w:cs="仿宋"/>
          <w:b/>
          <w:bCs w:val="0"/>
          <w:sz w:val="32"/>
          <w:szCs w:val="32"/>
          <w:lang w:val="en-US" w:eastAsia="zh-CN"/>
        </w:rPr>
        <w:t>建立健全环境管理机构和制度。</w:t>
      </w:r>
      <w:r>
        <w:rPr>
          <w:rFonts w:hint="eastAsia" w:ascii="仿宋_GB2312" w:hAnsi="仿宋_GB2312" w:eastAsia="仿宋_GB2312" w:cs="仿宋_GB2312"/>
          <w:sz w:val="32"/>
          <w:szCs w:val="32"/>
          <w:lang w:val="en-US" w:eastAsia="zh-CN"/>
        </w:rPr>
        <w:t>制定突发环境事件应急预案并报县生态环境部门备案，做好环境风险事故防范和应对工作。</w:t>
      </w:r>
      <w:r>
        <w:rPr>
          <w:rFonts w:hint="eastAsia" w:ascii="仿宋_GB2312" w:hAnsi="仿宋_GB2312" w:eastAsia="仿宋_GB2312" w:cs="仿宋_GB2312"/>
          <w:bCs/>
          <w:sz w:val="32"/>
          <w:szCs w:val="32"/>
          <w:lang w:val="en-US" w:eastAsia="zh-CN"/>
        </w:rPr>
        <w:t>按照《排污许可管理办法（试行）》和固定污染源排污许可分类管理名录（2019年版）相关规定，依法办理排污许可手续。</w:t>
      </w:r>
      <w:r>
        <w:rPr>
          <w:rFonts w:hint="eastAsia" w:ascii="仿宋_GB2312" w:hAnsi="仿宋_GB2312" w:eastAsia="仿宋_GB2312" w:cs="仿宋_GB2312"/>
          <w:sz w:val="32"/>
          <w:szCs w:val="32"/>
          <w:lang w:val="en-US" w:eastAsia="zh-CN"/>
        </w:rPr>
        <w:t>加强环境管理和环境监测工作，按《企业事业单位环境信息公开办法》，制定自行监测方案并做好自行监测和信息公开工作，对环保设施定期进行检查、维护，做好运行记录，建立相关台账，保证环保设施的正常运行。强化污染源管理，按照有关规定设置规范的污染物排放口，并设立标志牌，废气排气筒应按规范要求预留永久性监测口。</w:t>
      </w:r>
    </w:p>
    <w:p>
      <w:pPr>
        <w:keepNext w:val="0"/>
        <w:keepLines w:val="0"/>
        <w:pageBreakBefore w:val="0"/>
        <w:widowControl w:val="0"/>
        <w:kinsoku/>
        <w:wordWrap/>
        <w:overflowPunct/>
        <w:topLinePunct w:val="0"/>
        <w:autoSpaceDE/>
        <w:autoSpaceDN/>
        <w:bidi w:val="0"/>
        <w:adjustRightInd w:val="0"/>
        <w:snapToGrid w:val="0"/>
        <w:spacing w:line="580" w:lineRule="exact"/>
        <w:ind w:firstLine="643" w:firstLineChars="200"/>
        <w:textAlignment w:val="auto"/>
        <w:rPr>
          <w:rFonts w:hint="eastAsia" w:ascii="仿宋" w:hAnsi="仿宋" w:eastAsia="仿宋" w:cs="仿宋"/>
          <w:b/>
          <w:bCs/>
          <w:kern w:val="2"/>
          <w:sz w:val="32"/>
          <w:szCs w:val="32"/>
          <w:lang w:val="en-US" w:eastAsia="zh-CN" w:bidi="ar-SA"/>
        </w:rPr>
      </w:pPr>
      <w:r>
        <w:rPr>
          <w:rFonts w:hint="eastAsia" w:ascii="仿宋" w:hAnsi="仿宋" w:eastAsia="仿宋" w:cs="仿宋"/>
          <w:b/>
          <w:bCs/>
          <w:kern w:val="2"/>
          <w:sz w:val="32"/>
          <w:szCs w:val="32"/>
          <w:lang w:val="en-US" w:eastAsia="zh-CN" w:bidi="ar-SA"/>
        </w:rPr>
        <w:t>四、本项目总量指标执行省厅主要污染物排污权交易协议转让结果：SO</w:t>
      </w:r>
      <w:r>
        <w:rPr>
          <w:rFonts w:hint="eastAsia" w:ascii="仿宋" w:hAnsi="仿宋" w:eastAsia="仿宋" w:cs="仿宋"/>
          <w:b/>
          <w:bCs/>
          <w:kern w:val="2"/>
          <w:sz w:val="32"/>
          <w:szCs w:val="32"/>
          <w:vertAlign w:val="subscript"/>
          <w:lang w:val="en-US" w:eastAsia="zh-CN" w:bidi="ar-SA"/>
        </w:rPr>
        <w:t>2</w:t>
      </w:r>
      <w:r>
        <w:rPr>
          <w:rFonts w:hint="eastAsia" w:ascii="仿宋" w:hAnsi="仿宋" w:eastAsia="仿宋" w:cs="仿宋"/>
          <w:b/>
          <w:bCs/>
          <w:kern w:val="2"/>
          <w:sz w:val="32"/>
          <w:szCs w:val="32"/>
          <w:lang w:val="en-US" w:eastAsia="zh-CN" w:bidi="ar-SA"/>
        </w:rPr>
        <w:t xml:space="preserve"> 1.7050吨/年，NOx 2.4459吨/年。</w:t>
      </w:r>
    </w:p>
    <w:p>
      <w:pPr>
        <w:keepNext w:val="0"/>
        <w:keepLines w:val="0"/>
        <w:pageBreakBefore w:val="0"/>
        <w:widowControl w:val="0"/>
        <w:kinsoku/>
        <w:wordWrap/>
        <w:overflowPunct/>
        <w:topLinePunct w:val="0"/>
        <w:autoSpaceDE/>
        <w:autoSpaceDN/>
        <w:bidi w:val="0"/>
        <w:adjustRightInd w:val="0"/>
        <w:snapToGrid w:val="0"/>
        <w:spacing w:line="580" w:lineRule="exact"/>
        <w:ind w:firstLine="643" w:firstLineChars="200"/>
        <w:textAlignment w:val="auto"/>
        <w:rPr>
          <w:rFonts w:hint="eastAsia" w:ascii="仿宋" w:hAnsi="仿宋" w:eastAsia="仿宋" w:cs="仿宋"/>
          <w:sz w:val="32"/>
          <w:szCs w:val="32"/>
          <w:lang w:val="en-US" w:eastAsia="zh-CN"/>
        </w:rPr>
      </w:pPr>
      <w:r>
        <w:rPr>
          <w:rFonts w:hint="eastAsia" w:ascii="仿宋" w:hAnsi="仿宋" w:eastAsia="仿宋" w:cs="仿宋"/>
          <w:b/>
          <w:bCs/>
          <w:kern w:val="2"/>
          <w:sz w:val="32"/>
          <w:szCs w:val="32"/>
          <w:lang w:val="en-US" w:eastAsia="zh-CN" w:bidi="ar-SA"/>
        </w:rPr>
        <w:t>五、工程竣工后,你单位必须按《建设项目竣工环境保护验收管理办法》及《建设项目环境保护管理条例》中的规定,自主开展建设项目竣工环保验收,将</w:t>
      </w:r>
      <w:r>
        <w:rPr>
          <w:rFonts w:hint="eastAsia" w:ascii="仿宋" w:hAnsi="仿宋" w:eastAsia="仿宋" w:cs="仿宋"/>
          <w:b/>
          <w:bCs/>
          <w:sz w:val="32"/>
          <w:szCs w:val="32"/>
          <w:lang w:val="en-US" w:eastAsia="zh-CN"/>
        </w:rPr>
        <w:t>竣工环保验收</w:t>
      </w:r>
      <w:r>
        <w:rPr>
          <w:rFonts w:hint="eastAsia" w:ascii="仿宋" w:hAnsi="仿宋" w:eastAsia="仿宋" w:cs="仿宋"/>
          <w:b/>
          <w:bCs/>
          <w:kern w:val="2"/>
          <w:sz w:val="32"/>
          <w:szCs w:val="32"/>
          <w:lang w:val="en-US" w:eastAsia="zh-CN" w:bidi="ar-SA"/>
        </w:rPr>
        <w:t>材料</w:t>
      </w:r>
      <w:r>
        <w:rPr>
          <w:rFonts w:hint="eastAsia" w:ascii="仿宋" w:hAnsi="仿宋" w:eastAsia="仿宋" w:cs="仿宋"/>
          <w:b/>
          <w:sz w:val="32"/>
          <w:szCs w:val="32"/>
          <w:lang w:eastAsia="zh-CN"/>
        </w:rPr>
        <w:t>上传至</w:t>
      </w:r>
      <w:r>
        <w:rPr>
          <w:rFonts w:hint="eastAsia" w:ascii="仿宋" w:hAnsi="仿宋" w:eastAsia="仿宋" w:cs="仿宋"/>
          <w:b/>
          <w:sz w:val="32"/>
          <w:szCs w:val="32"/>
        </w:rPr>
        <w:t>建设项目</w:t>
      </w:r>
      <w:r>
        <w:rPr>
          <w:rFonts w:hint="eastAsia" w:ascii="仿宋" w:hAnsi="仿宋" w:eastAsia="仿宋" w:cs="仿宋"/>
          <w:b/>
          <w:sz w:val="32"/>
          <w:szCs w:val="32"/>
          <w:lang w:eastAsia="zh-CN"/>
        </w:rPr>
        <w:t>企业自主</w:t>
      </w:r>
      <w:r>
        <w:rPr>
          <w:rFonts w:hint="eastAsia" w:ascii="仿宋" w:hAnsi="仿宋" w:eastAsia="仿宋" w:cs="仿宋"/>
          <w:b/>
          <w:sz w:val="32"/>
          <w:szCs w:val="32"/>
        </w:rPr>
        <w:t>验收信息</w:t>
      </w:r>
      <w:r>
        <w:rPr>
          <w:rFonts w:hint="eastAsia" w:ascii="仿宋" w:hAnsi="仿宋" w:eastAsia="仿宋" w:cs="仿宋"/>
          <w:b/>
          <w:sz w:val="32"/>
          <w:szCs w:val="32"/>
          <w:lang w:eastAsia="zh-CN"/>
        </w:rPr>
        <w:t>发布</w:t>
      </w:r>
      <w:r>
        <w:rPr>
          <w:rFonts w:hint="eastAsia" w:ascii="仿宋" w:hAnsi="仿宋" w:eastAsia="仿宋" w:cs="仿宋"/>
          <w:b/>
          <w:sz w:val="32"/>
          <w:szCs w:val="32"/>
        </w:rPr>
        <w:t>平台</w:t>
      </w:r>
      <w:r>
        <w:rPr>
          <w:rFonts w:hint="eastAsia" w:ascii="仿宋" w:hAnsi="仿宋" w:eastAsia="仿宋" w:cs="仿宋"/>
          <w:b/>
          <w:bCs/>
          <w:sz w:val="32"/>
          <w:szCs w:val="32"/>
          <w:lang w:val="en-US" w:eastAsia="zh-CN"/>
        </w:rPr>
        <w:t>，</w:t>
      </w:r>
      <w:r>
        <w:rPr>
          <w:rFonts w:hint="eastAsia" w:ascii="仿宋" w:hAnsi="仿宋" w:eastAsia="仿宋" w:cs="仿宋"/>
          <w:b/>
          <w:bCs/>
          <w:kern w:val="2"/>
          <w:sz w:val="32"/>
          <w:szCs w:val="32"/>
          <w:lang w:val="en-US" w:eastAsia="zh-CN" w:bidi="ar-SA"/>
        </w:rPr>
        <w:t>并报县生态环境局备案。</w:t>
      </w:r>
      <w:r>
        <w:rPr>
          <w:rFonts w:hint="eastAsia" w:ascii="仿宋" w:hAnsi="仿宋" w:eastAsia="仿宋" w:cs="仿宋"/>
          <w:b/>
          <w:bCs/>
          <w:sz w:val="32"/>
          <w:szCs w:val="32"/>
          <w:lang w:val="en-US" w:eastAsia="zh-CN"/>
        </w:rPr>
        <w:t>县生态环境综合行政执法大队负责该项目环境监督管理及日常监督检查工作。</w:t>
      </w:r>
    </w:p>
    <w:p>
      <w:pPr>
        <w:keepNext w:val="0"/>
        <w:keepLines w:val="0"/>
        <w:pageBreakBefore w:val="0"/>
        <w:widowControl w:val="0"/>
        <w:kinsoku/>
        <w:wordWrap/>
        <w:overflowPunct/>
        <w:topLinePunct w:val="0"/>
        <w:autoSpaceDE/>
        <w:autoSpaceDN/>
        <w:bidi w:val="0"/>
        <w:adjustRightInd w:val="0"/>
        <w:snapToGrid w:val="0"/>
        <w:spacing w:line="580" w:lineRule="exact"/>
        <w:ind w:firstLine="643" w:firstLineChars="200"/>
        <w:textAlignment w:val="auto"/>
        <w:rPr>
          <w:rFonts w:hint="eastAsia" w:ascii="仿宋" w:hAnsi="仿宋" w:eastAsia="仿宋" w:cs="仿宋"/>
          <w:b/>
          <w:bCs/>
          <w:kern w:val="2"/>
          <w:sz w:val="32"/>
          <w:szCs w:val="32"/>
          <w:lang w:val="en-US" w:eastAsia="zh-CN" w:bidi="ar-SA"/>
        </w:rPr>
      </w:pPr>
      <w:r>
        <w:rPr>
          <w:rFonts w:hint="eastAsia" w:ascii="仿宋" w:hAnsi="仿宋" w:eastAsia="仿宋" w:cs="仿宋"/>
          <w:b/>
          <w:bCs/>
          <w:kern w:val="2"/>
          <w:sz w:val="32"/>
          <w:szCs w:val="32"/>
          <w:lang w:val="en-US" w:eastAsia="zh-CN" w:bidi="ar-SA"/>
        </w:rPr>
        <w:t>六、如果该项目的性质、规模、地点或者污染防治的措施与报批的建设项目环境影响报告表叙述内容不符或发生重大变化，你单位要重新申请报批。</w:t>
      </w:r>
    </w:p>
    <w:p>
      <w:pPr>
        <w:keepNext w:val="0"/>
        <w:keepLines w:val="0"/>
        <w:pageBreakBefore w:val="0"/>
        <w:widowControl w:val="0"/>
        <w:kinsoku/>
        <w:wordWrap/>
        <w:overflowPunct/>
        <w:topLinePunct w:val="0"/>
        <w:autoSpaceDE/>
        <w:autoSpaceDN/>
        <w:bidi w:val="0"/>
        <w:adjustRightInd w:val="0"/>
        <w:snapToGrid w:val="0"/>
        <w:spacing w:line="580" w:lineRule="exact"/>
        <w:ind w:right="0" w:rightChars="0"/>
        <w:jc w:val="both"/>
        <w:textAlignment w:val="auto"/>
        <w:outlineLvl w:val="9"/>
        <w:rPr>
          <w:rFonts w:hint="eastAsia" w:ascii="仿宋" w:hAnsi="仿宋" w:eastAsia="仿宋" w:cs="仿宋"/>
          <w:bCs/>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580" w:lineRule="exact"/>
        <w:ind w:right="0" w:rightChars="0"/>
        <w:jc w:val="both"/>
        <w:textAlignment w:val="auto"/>
        <w:outlineLvl w:val="9"/>
        <w:rPr>
          <w:rFonts w:hint="eastAsia" w:ascii="仿宋" w:hAnsi="仿宋" w:eastAsia="仿宋" w:cs="仿宋"/>
          <w:bCs/>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580" w:lineRule="exact"/>
        <w:ind w:right="0" w:rightChars="0"/>
        <w:jc w:val="both"/>
        <w:textAlignment w:val="auto"/>
        <w:outlineLvl w:val="9"/>
        <w:rPr>
          <w:rFonts w:hint="eastAsia" w:ascii="仿宋" w:hAnsi="仿宋" w:eastAsia="仿宋" w:cs="仿宋"/>
          <w:bCs/>
          <w:sz w:val="32"/>
          <w:szCs w:val="32"/>
          <w:lang w:val="en-US" w:eastAsia="zh-CN"/>
        </w:rPr>
      </w:pPr>
      <w:bookmarkStart w:id="0" w:name="_GoBack"/>
      <w:bookmarkEnd w:id="0"/>
    </w:p>
    <w:p>
      <w:pPr>
        <w:keepNext w:val="0"/>
        <w:keepLines w:val="0"/>
        <w:pageBreakBefore w:val="0"/>
        <w:widowControl w:val="0"/>
        <w:kinsoku/>
        <w:wordWrap/>
        <w:overflowPunct/>
        <w:topLinePunct w:val="0"/>
        <w:autoSpaceDE/>
        <w:autoSpaceDN/>
        <w:bidi w:val="0"/>
        <w:adjustRightInd w:val="0"/>
        <w:snapToGrid w:val="0"/>
        <w:spacing w:line="580" w:lineRule="exact"/>
        <w:ind w:right="0" w:rightChars="0"/>
        <w:jc w:val="both"/>
        <w:textAlignment w:val="auto"/>
        <w:outlineLvl w:val="9"/>
        <w:rPr>
          <w:rFonts w:hint="eastAsia" w:ascii="仿宋" w:hAnsi="仿宋" w:eastAsia="仿宋" w:cs="仿宋"/>
          <w:bCs/>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4800" w:firstLineChars="1500"/>
        <w:jc w:val="both"/>
        <w:textAlignment w:val="auto"/>
        <w:outlineLvl w:val="9"/>
        <w:rPr>
          <w:rFonts w:hint="eastAsia" w:ascii="仿宋" w:hAnsi="仿宋" w:eastAsia="仿宋" w:cs="Arial"/>
          <w:color w:val="2B2B2B"/>
          <w:kern w:val="0"/>
          <w:sz w:val="32"/>
          <w:szCs w:val="32"/>
          <w:lang w:val="zh-CN"/>
        </w:rPr>
      </w:pPr>
      <w:r>
        <w:rPr>
          <w:rFonts w:hint="eastAsia" w:ascii="仿宋" w:hAnsi="仿宋" w:eastAsia="仿宋" w:cs="仿宋"/>
          <w:bCs/>
          <w:sz w:val="32"/>
          <w:szCs w:val="32"/>
          <w:lang w:val="en-US" w:eastAsia="zh-CN"/>
        </w:rPr>
        <w:t>2024年1月30日</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textAlignment w:val="auto"/>
        <w:rPr>
          <w:rFonts w:hint="eastAsia" w:ascii="仿宋" w:hAnsi="仿宋" w:eastAsia="仿宋" w:cs="Arial"/>
          <w:color w:val="2B2B2B"/>
          <w:kern w:val="0"/>
          <w:sz w:val="32"/>
          <w:szCs w:val="32"/>
          <w:lang w:val="zh-CN"/>
        </w:rPr>
      </w:pP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textAlignment w:val="auto"/>
        <w:rPr>
          <w:rFonts w:hint="eastAsia" w:ascii="仿宋" w:hAnsi="仿宋" w:eastAsia="仿宋" w:cs="Arial"/>
          <w:color w:val="2B2B2B"/>
          <w:kern w:val="0"/>
          <w:sz w:val="32"/>
          <w:szCs w:val="32"/>
          <w:lang w:val="zh-CN"/>
        </w:rPr>
      </w:pP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textAlignment w:val="auto"/>
        <w:rPr>
          <w:rFonts w:hint="eastAsia" w:ascii="仿宋" w:hAnsi="仿宋" w:eastAsia="仿宋" w:cs="Arial"/>
          <w:color w:val="2B2B2B"/>
          <w:kern w:val="0"/>
          <w:sz w:val="32"/>
          <w:szCs w:val="32"/>
          <w:lang w:val="zh-CN"/>
        </w:rPr>
      </w:pP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textAlignment w:val="auto"/>
        <w:rPr>
          <w:rFonts w:hint="eastAsia" w:ascii="仿宋_GB2312" w:hAnsi="仿宋_GB2312" w:eastAsia="仿宋_GB2312" w:cs="仿宋_GB2312"/>
          <w:sz w:val="32"/>
          <w:szCs w:val="32"/>
        </w:rPr>
      </w:pPr>
      <w:r>
        <w:rPr>
          <w:rFonts w:hint="eastAsia" w:ascii="仿宋" w:hAnsi="仿宋" w:eastAsia="仿宋" w:cs="Arial"/>
          <w:color w:val="2B2B2B"/>
          <w:kern w:val="0"/>
          <w:sz w:val="32"/>
          <w:szCs w:val="32"/>
          <w:lang w:val="zh-CN"/>
        </w:rPr>
        <w:t>抄送：海东市生态环境局、本局各局长、县生态环境综合行政执法大队、存档</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auto"/>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Arial Black">
    <w:panose1 w:val="020B0A04020102020204"/>
    <w:charset w:val="00"/>
    <w:family w:val="swiss"/>
    <w:pitch w:val="default"/>
    <w:sig w:usb0="00000287" w:usb1="00000000" w:usb2="00000000" w:usb3="00000000" w:csb0="2000009F" w:csb1="DFD7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C4DAF6"/>
    <w:multiLevelType w:val="singleLevel"/>
    <w:tmpl w:val="D6C4DAF6"/>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c3MDg3NzZiZmRkNzNlNWI1ZjUwNzYyNWQ0NmYyZDYifQ=="/>
  </w:docVars>
  <w:rsids>
    <w:rsidRoot w:val="00FE585B"/>
    <w:rsid w:val="00036E5F"/>
    <w:rsid w:val="001236C1"/>
    <w:rsid w:val="00192AEC"/>
    <w:rsid w:val="001B7877"/>
    <w:rsid w:val="002624ED"/>
    <w:rsid w:val="0027716F"/>
    <w:rsid w:val="00353AEA"/>
    <w:rsid w:val="00375D23"/>
    <w:rsid w:val="004F47BA"/>
    <w:rsid w:val="00534931"/>
    <w:rsid w:val="00570BE2"/>
    <w:rsid w:val="00626EB8"/>
    <w:rsid w:val="00653C3F"/>
    <w:rsid w:val="00730508"/>
    <w:rsid w:val="0073399D"/>
    <w:rsid w:val="007664FE"/>
    <w:rsid w:val="00777004"/>
    <w:rsid w:val="0084307F"/>
    <w:rsid w:val="00871A67"/>
    <w:rsid w:val="00A0672C"/>
    <w:rsid w:val="00BA4FAA"/>
    <w:rsid w:val="00C53F11"/>
    <w:rsid w:val="00D36B2A"/>
    <w:rsid w:val="00DC3B38"/>
    <w:rsid w:val="00E04519"/>
    <w:rsid w:val="00E94B08"/>
    <w:rsid w:val="00EC63FC"/>
    <w:rsid w:val="00F158F9"/>
    <w:rsid w:val="00F429A1"/>
    <w:rsid w:val="00F936C0"/>
    <w:rsid w:val="00FE585B"/>
    <w:rsid w:val="03A63558"/>
    <w:rsid w:val="0D5E6EA1"/>
    <w:rsid w:val="12181F51"/>
    <w:rsid w:val="17017BB9"/>
    <w:rsid w:val="190F4D0C"/>
    <w:rsid w:val="246B2211"/>
    <w:rsid w:val="26424DA7"/>
    <w:rsid w:val="384672DC"/>
    <w:rsid w:val="39290225"/>
    <w:rsid w:val="492014D7"/>
    <w:rsid w:val="4976747A"/>
    <w:rsid w:val="4F3F221F"/>
    <w:rsid w:val="5C5679F9"/>
    <w:rsid w:val="62AA5963"/>
    <w:rsid w:val="62D236B8"/>
    <w:rsid w:val="63476E39"/>
    <w:rsid w:val="661C247E"/>
    <w:rsid w:val="7F276DC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11"/>
    <w:autoRedefine/>
    <w:qFormat/>
    <w:uiPriority w:val="0"/>
    <w:pPr>
      <w:tabs>
        <w:tab w:val="center" w:pos="4153"/>
        <w:tab w:val="right" w:pos="8306"/>
      </w:tabs>
      <w:snapToGrid w:val="0"/>
      <w:jc w:val="left"/>
    </w:pPr>
    <w:rPr>
      <w:sz w:val="18"/>
      <w:szCs w:val="18"/>
    </w:rPr>
  </w:style>
  <w:style w:type="paragraph" w:styleId="3">
    <w:name w:val="header"/>
    <w:basedOn w:val="1"/>
    <w:link w:val="10"/>
    <w:autoRedefine/>
    <w:qFormat/>
    <w:uiPriority w:val="0"/>
    <w:pPr>
      <w:pBdr>
        <w:bottom w:val="single" w:color="auto" w:sz="6" w:space="1"/>
      </w:pBdr>
      <w:tabs>
        <w:tab w:val="center" w:pos="4153"/>
        <w:tab w:val="right" w:pos="8306"/>
      </w:tabs>
      <w:snapToGrid w:val="0"/>
      <w:jc w:val="center"/>
    </w:pPr>
    <w:rPr>
      <w:sz w:val="18"/>
      <w:szCs w:val="18"/>
    </w:rPr>
  </w:style>
  <w:style w:type="paragraph" w:styleId="4">
    <w:name w:val="Body Text 2"/>
    <w:basedOn w:val="1"/>
    <w:autoRedefine/>
    <w:qFormat/>
    <w:uiPriority w:val="0"/>
    <w:pPr>
      <w:spacing w:line="500" w:lineRule="atLeast"/>
    </w:pPr>
    <w:rPr>
      <w:rFonts w:ascii="宋体" w:hAnsi="宋体"/>
      <w:b/>
      <w:bCs/>
      <w:sz w:val="24"/>
    </w:rPr>
  </w:style>
  <w:style w:type="table" w:styleId="6">
    <w:name w:val="Table Grid"/>
    <w:basedOn w:val="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0正文"/>
    <w:autoRedefine/>
    <w:qFormat/>
    <w:uiPriority w:val="0"/>
    <w:pPr>
      <w:widowControl w:val="0"/>
      <w:spacing w:line="360" w:lineRule="auto"/>
      <w:ind w:firstLine="720" w:firstLineChars="200"/>
    </w:pPr>
    <w:rPr>
      <w:rFonts w:ascii="Times New Roman" w:hAnsi="Times New Roman" w:eastAsia="宋体" w:cs="Times New Roman"/>
      <w:sz w:val="24"/>
      <w:szCs w:val="22"/>
      <w:lang w:val="en-US" w:eastAsia="zh-CN" w:bidi="ar-SA"/>
    </w:rPr>
  </w:style>
  <w:style w:type="paragraph" w:customStyle="1" w:styleId="9">
    <w:name w:val="芬 正文文本"/>
    <w:basedOn w:val="1"/>
    <w:autoRedefine/>
    <w:qFormat/>
    <w:uiPriority w:val="0"/>
    <w:pPr>
      <w:widowControl/>
      <w:tabs>
        <w:tab w:val="left" w:pos="2503"/>
      </w:tabs>
      <w:spacing w:line="360" w:lineRule="auto"/>
      <w:ind w:firstLine="640" w:firstLineChars="200"/>
      <w:jc w:val="left"/>
      <w:outlineLvl w:val="3"/>
    </w:pPr>
    <w:rPr>
      <w:rFonts w:eastAsia="仿宋_GB2312"/>
      <w:kern w:val="0"/>
      <w:sz w:val="20"/>
    </w:rPr>
  </w:style>
  <w:style w:type="character" w:customStyle="1" w:styleId="10">
    <w:name w:val="页眉 Char"/>
    <w:basedOn w:val="7"/>
    <w:link w:val="3"/>
    <w:autoRedefine/>
    <w:qFormat/>
    <w:uiPriority w:val="0"/>
    <w:rPr>
      <w:rFonts w:ascii="Calibri" w:hAnsi="Calibri" w:eastAsia="宋体" w:cs="Times New Roman"/>
      <w:kern w:val="2"/>
      <w:sz w:val="18"/>
      <w:szCs w:val="18"/>
    </w:rPr>
  </w:style>
  <w:style w:type="character" w:customStyle="1" w:styleId="11">
    <w:name w:val="页脚 Char"/>
    <w:basedOn w:val="7"/>
    <w:link w:val="2"/>
    <w:autoRedefine/>
    <w:qFormat/>
    <w:uiPriority w:val="0"/>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1079</Words>
  <Characters>88</Characters>
  <Lines>1</Lines>
  <Paragraphs>2</Paragraphs>
  <TotalTime>53</TotalTime>
  <ScaleCrop>false</ScaleCrop>
  <LinksUpToDate>false</LinksUpToDate>
  <CharactersWithSpaces>1165</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2020-12-02T01:09:00Z</dcterms:created>
  <dc:creator>Administrator</dc:creator>
  <cp:lastModifiedBy>WPS_643374744</cp:lastModifiedBy>
  <cp:lastPrinted>2024-01-31T03:03:50Z</cp:lastPrinted>
  <dcterms:modified xsi:type="dcterms:W3CDTF">2024-01-31T03:03:56Z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82384652C8A04F2ABCF6E017BF350B09_12</vt:lpwstr>
  </property>
</Properties>
</file>