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907"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659"/>
        <w:gridCol w:w="1605"/>
        <w:gridCol w:w="3180"/>
        <w:gridCol w:w="1185"/>
        <w:gridCol w:w="975"/>
        <w:gridCol w:w="13303"/>
      </w:tblGrid>
      <w:tr>
        <w:tblPrEx>
          <w:tblW w:w="20907" w:type="dxa"/>
          <w:tblInd w:w="0" w:type="dxa"/>
          <w:shd w:val="clear" w:color="auto" w:fill="auto"/>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bCs w:val="0"/>
                <w:i w:val="0"/>
                <w:color w:val="000000"/>
                <w:kern w:val="0"/>
                <w:sz w:val="44"/>
                <w:szCs w:val="44"/>
                <w:u w:val="none"/>
                <w:lang w:val="en-US" w:eastAsia="zh-CN"/>
              </w:rPr>
              <w:t xml:space="preserve">海东市化隆县医疗保障局权力清单</w:t>
            </w:r>
          </w:p>
        </w:tc>
      </w:tr>
      <w:tr>
        <w:tblPrEx>
          <w:tblW w:w="20907" w:type="dxa"/>
          <w:tblInd w:w="0" w:type="dxa"/>
          <w:shd w:val="clear" w:color="auto" w:fill="auto"/>
          <w:tblLayout w:type="fixed"/>
          <w:tblCellMar>
            <w:top w:w="0" w:type="dxa"/>
            <w:left w:w="0" w:type="dxa"/>
            <w:bottom w:w="0" w:type="dxa"/>
            <w:right w:w="0" w:type="dxa"/>
          </w:tblCellMar>
        </w:tblPrEx>
        <w:trPr>
          <w:trHeight w:val="50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序号</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基本编码</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事项名称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事项类型</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部门/单位</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设定依据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社会保险经办机构以及医疗机构、药品经营单位等社会保险服务机构以欺诈、伪造证明材料或者其他手段骗取社会保险基金支出的处罚</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《中华人民共和国社会保险法》（主席令第35号2011.7.1）第87条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《实施＜中华人民共和国社会保险法＞若干规定》（人力资源和社会保障部令第13号2011.7.1）第25条 医疗机构、药品经营单位等社会保险服务机构以欺诈、伪造证明材料或者其他手段骗取社会保险基金支出的，由社会保险行政部门责令退回骗取的社会保险金，处骗取金额二倍以上五倍以下的罚款。对与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630536002000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生育保险待遇支付</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行政给付</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中华人民共和国劳动法》（主席令第28号 1994.7.5）第70条国家发展社会保险事业，建立社会保险制度，设立社会保险基金，使劳动者在年老、患病、工伤、失业、生育等情况下获得帮助和补偿。</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630536001000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城镇职工基本医疗保险待遇支付</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行政给付</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《国务院关于建立城镇职工基本医疗保险制度的决定》（国发〔1998〕44号）第3条  建立基本医疗保险统筹基金和个人账户。基本医疗保险基金由统筹基金和个人账户构成。统筹基金和个人账户要划定各自的支付范围，分别核算，不得互相挤占。要确定统筹基金的起付标准和最高支付限额，起付标准原则上控制在当地职工年平均工资的１０％左右，最高支付限额原则上控制在当地职工年平均工资的４倍左右。起付标准以下的医疗费用，从个人账户中支付或由个人自付。起付标准以上、最高支付限额以下的医疗费用，主要从统筹基金中支付，个人也要负担一定比例。超过最高支付限额的医疗费用，可以通过商业医疗保险等途径解决。统筹基金的具体起付标准、最高支付限额以及在起付标准以上和最高支付限额以下医疗费用的个人负担比例，由统筹地区根据以收定支、收支平衡的原则确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《关于印发青海省城镇职工基本医疗保险制度改革实施方案的通知》（青政〔2000〕72号2000.9.22）第8条第（二）项 各统筹地区应根据“以收定支、收支平衡”的原则合理确定统筹基金的起付标准和最高支付限额。起付标准应为当地上年度职工平均工资的10%左右。起付标准以上至最高支付限额以下部分主要由社会统筹基金支付，但个人也要负担一定比例。</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统筹医疗基金最高支付限额一般确定为当地职工上年年平均工资的4倍。超过最高支付限额的医疗费用，可以通过建立特大病医疗保险、职工互助医疗保险、商业医疗保险和社会医疗救助等途径解决。</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医疗保险定点医疗机构、零售药店的监督检查</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《国务院关于建立城镇职工基本医疗保险制度的决定》（国发〔1998〕44号）第五条：“劳动保障部会同卫生部、财政部等有关部门制定定点医疗机构和定点药店的资格审定办法。”</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《城镇职工基本医疗保险定点医疗机构管理暂行办法》（劳社部发〔1999〕14号）第十七条：劳动保障行政部门要组织卫生、物价等有关部门加强对定点医疗机构服务和管理情况的监督检查。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城镇职工基本医疗保险定点零售药店管理暂行办法》（劳社部发〔1999〕16号）第十三条：劳动社会保险行政部门要组织药品监督管理、物价、医药行业主管部门等有关部门，加强对定点零售药店处方外配服务和管理的监督检查。要对定点零售药店的资格进行年度审核。</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生育保险待遇申领</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1.《青海省人民政府办公厅关于印发青海省生育保险和职工基本医疗保险合并实施方案的通知》(青政发〔2019〕98号）。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2.《青海省医疗保障局关于印发青海省医疗保险按病种付费办法的通知》(青医保局发〔2019〕77号）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3.《青海省医疗保障局关于印发青海省省级生育保险和职工基本医疗保险合并实施细则的通知》(青医保局发〔2019〕  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630736004000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生育保险登记及申报核定</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《中华人民共和国社会保险法》（主席令第35号2011.7.1）《社会保险费征缴暂行条例》（国务院令第259号 1999.1.22）第7条缴费单位必须向当地社会保险经办机构办理社会保险登记，参加社会保险。</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630736006000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城乡医疗救助审批</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青海省人民政府办公厅《关于进一步健全完善医疗救助制度的通知》（青政办〔2015〕118号）,</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青海省民政厅、财政厅、人社厅、卫生健康委、扶贫局、青海保监局《关于加强医疗救助与城乡居民基本医疗保险有效衔接进一步提高救助水平的通知》（青民发〔2017〕109号），</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青海省医疗保障局、青海省财政厅、青海省民政厅《关于做好医疗救助有关工作的通知》（青医保局发〔2019〕31号），</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青海省医疗保障局  青海省卫生健康委员会 青海省扶贫开发局  青海省民政厅《关于进一步做好医疗保障扶贫有关工作的通知》（青医保局发〔2019〕52号）等文件。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000736001000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低保、特困等困难群众医疗救助</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社会救助暂行办法》（国务院令第649号）第五章第三十条：“申请医疗救助的，应当向乡镇人民政府、街道办事处提出，经审核、公示后，由县级人民政府民政部门审批。最低生活保障家庭成员和特困供养人员的医疗救助，由县级人民政府民政部门直接办理。”（机构改革后，医疗救助职能由民政部划转至医保局）</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630736002000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医疗保险登记及医疗保险费申报核定</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社会保险费征缴暂行条例》(国务院令第259号1999.1.22)第7条 缴费单位必须向当地社会保险经办机构办理社会保险登记，参加社会保险。</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第8条 本条例施行前已经参加社会保险的缴费单位，应当自本条例施行之日起6个月内到当地社会保险经办机构补办社会保险登记，由社会保险经办机构发给社会保险登记证件。</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本条例施行前尚未参加社会保险的缴费单位应当自本条例施行之日起30日内，本条例施行后成立的缴费单位应当自成立之日起30日内，持营业执照或者登记证书等有关证件，到当地社会保险经办机构申请输社会保险登记。社会保险经办机构审核后，发给社会保险登记证件。</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《青海省行政许可审批项目及行政许可实施主体目录》和《青海省保留的非行政许可审批项目目录》（青海省人民政府令第52号 2005.12.6）。</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《社会保险费征缴暂行条例》(国务院令第259号1999.1.22)第10条 缴费单位必须按月向社会保险经办机构申报应缴纳的社会保险费数额，经社会保险经办机构核定后，在规定的期限内缴纳社会保险费。</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缴费单位不按规定申报应缴纳的社会保险费数额的，由社会保险经办机构暂按该单位上月缴费数额的110%确定应缴数额；没有上月缴费数额的，由社会保险经办机构暂按该单位的经营状况、职工人数等有关情况确定应缴数额。缴费单位补办申报手续并按核定数额缴纳社会保险费后，由社会保险经办机构按照规定结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10</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630736005000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办理居民医保受理登记、缴费</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《青海省人民政府办公厅关于印发青海省城乡居民基本医疗保险省级统筹实施方案的通知》（青政办〔2016〕81号）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631036003000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基本医疗保险定点医药机构准入评价</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关于第一批取消62项中央指定地方实施行政审批事项的决定》（国发〔2015〕57号）、《关于整合城乡居民基本医疗保险制度的意见》（国发〔2016〕3号）、人社部《关于完善基本医疗保险定点医药机构协议管理的指导意见》（人社部发〔2016〕98号）和《关于印发基本医疗保险定点医药机构协议管理经办规程的通知》（人社厅发〔2016〕139号）、《青海省基本医疗保险定点医药机构准入评价办法》（青人社厅发〔2017〕130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631036004000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县级行政事业单位医疗保险转诊、转院、转外就医、特检、特疹、特殊用药、特殊病门诊审批。</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bookmarkStart w:id="0" w:name="_GoBack"/>
            <w:bookmarkEnd w:id="0"/>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根据《中华人民共和国劳动法》第一百零三条：劳动行政部门或者有关部门的工作人员滥用职权、玩忽职守、徇私舞弊，构成犯罪的，依法追究刑事责任；不构成犯罪的，给予行政处分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632136001000</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auto"/>
                <w:sz w:val="18"/>
                <w:szCs w:val="18"/>
                <w:u w:val="none"/>
              </w:rPr>
            </w:pPr>
            <w:r>
              <w:rPr>
                <w:rFonts w:ascii="宋体" w:eastAsia="宋体" w:hAnsi="宋体" w:asciiTheme="majorEastAsia" w:eastAsiaTheme="majorEastAsia" w:hAnsiTheme="majorEastAsia" w:cs="Times New Roman" w:cstheme="majorEastAsia" w:hint="eastAsia"/>
                <w:b w:val="0"/>
                <w:bCs/>
                <w:i w:val="0"/>
                <w:color w:val="auto"/>
                <w:kern w:val="0"/>
                <w:sz w:val="18"/>
                <w:szCs w:val="18"/>
                <w:u w:val="none"/>
                <w:lang w:val="en-US" w:eastAsia="zh-CN"/>
              </w:rPr>
              <w:t xml:space="preserve">对基本医疗保险基金的监督管理</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县医保局</w:t>
            </w:r>
          </w:p>
        </w:tc>
        <w:tc>
          <w:tcPr>
            <w:tcW w:w="133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《国务院关于建立城镇职工基本医疗保险制度的决定》（国发〔1998〕44号1998.12.14）第4条第4款 各级劳动保障和财政部门，要加强对基本医疗保险基金的监督管理。</w:t>
            </w: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9.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2019-09-25T04:46:00Z</dcterms:created>
  <dcterms:modified xsi:type="dcterms:W3CDTF">2019-11-14T00:48:36Z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